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240" w:after="240"/>
        <w:outlineLvl w:val="0"/>
        <w:rPr>
          <w:rFonts w:ascii="宋体" w:hAnsi="宋体" w:cs="宋体"/>
          <w:b/>
          <w:bCs/>
          <w:kern w:val="0"/>
          <w:sz w:val="28"/>
          <w:szCs w:val="28"/>
        </w:rPr>
      </w:pPr>
      <w:bookmarkStart w:id="0" w:name="_GoBack"/>
      <w:r>
        <w:rPr>
          <w:rFonts w:hint="eastAsia" w:ascii="宋体" w:hAnsi="宋体" w:cs="宋体"/>
          <w:b/>
          <w:bCs/>
          <w:kern w:val="0"/>
          <w:sz w:val="28"/>
          <w:szCs w:val="28"/>
        </w:rPr>
        <w:t>附件：个人报名与参赛须知</w:t>
      </w:r>
    </w:p>
    <w:bookmarkEnd w:id="0"/>
    <w:p>
      <w:pPr>
        <w:spacing w:before="240"/>
        <w:jc w:val="center"/>
        <w:rPr>
          <w:rFonts w:ascii="宋体" w:hAnsi="宋体"/>
          <w:b/>
          <w:sz w:val="32"/>
          <w:szCs w:val="32"/>
        </w:rPr>
      </w:pPr>
      <w:r>
        <w:rPr>
          <w:rFonts w:hint="eastAsia" w:ascii="宋体" w:hAnsi="宋体"/>
          <w:b/>
          <w:sz w:val="32"/>
          <w:szCs w:val="32"/>
        </w:rPr>
        <w:t>湘潭大学参加第十一届全国大学生市场调查与分析大赛</w:t>
      </w:r>
    </w:p>
    <w:p>
      <w:pPr>
        <w:jc w:val="center"/>
        <w:rPr>
          <w:rFonts w:ascii="宋体" w:hAnsi="宋体"/>
          <w:b/>
          <w:sz w:val="32"/>
          <w:szCs w:val="32"/>
        </w:rPr>
      </w:pPr>
      <w:r>
        <w:rPr>
          <w:rFonts w:hint="eastAsia" w:ascii="宋体" w:hAnsi="宋体"/>
          <w:b/>
          <w:sz w:val="32"/>
          <w:szCs w:val="32"/>
        </w:rPr>
        <w:t>个人报名和参赛须知</w:t>
      </w:r>
    </w:p>
    <w:p>
      <w:pPr>
        <w:spacing w:line="460" w:lineRule="exact"/>
        <w:ind w:left="2173" w:right="69" w:rightChars="33" w:hanging="2172" w:hangingChars="776"/>
        <w:jc w:val="center"/>
        <w:rPr>
          <w:rFonts w:ascii="宋体" w:hAnsi="宋体"/>
          <w:sz w:val="28"/>
          <w:szCs w:val="28"/>
        </w:rPr>
      </w:pPr>
      <w:r>
        <w:rPr>
          <w:rFonts w:hint="eastAsia" w:ascii="宋体" w:hAnsi="宋体"/>
          <w:sz w:val="28"/>
          <w:szCs w:val="28"/>
        </w:rPr>
        <w:t>（2020年9月25日）</w:t>
      </w:r>
    </w:p>
    <w:p>
      <w:pPr>
        <w:spacing w:line="460" w:lineRule="exact"/>
        <w:ind w:left="2483" w:right="69" w:rightChars="33" w:hanging="2483" w:hangingChars="776"/>
        <w:jc w:val="center"/>
        <w:rPr>
          <w:rFonts w:ascii="宋体" w:hAnsi="宋体"/>
          <w:sz w:val="32"/>
          <w:szCs w:val="32"/>
        </w:rPr>
      </w:pPr>
    </w:p>
    <w:p>
      <w:pPr>
        <w:spacing w:line="460" w:lineRule="exact"/>
        <w:ind w:left="2181" w:right="69" w:rightChars="33" w:hanging="2181" w:hangingChars="776"/>
        <w:rPr>
          <w:rFonts w:ascii="宋体" w:hAnsi="宋体"/>
          <w:b/>
          <w:sz w:val="28"/>
          <w:szCs w:val="28"/>
        </w:rPr>
      </w:pPr>
    </w:p>
    <w:p>
      <w:pPr>
        <w:spacing w:line="360" w:lineRule="auto"/>
        <w:ind w:firstLine="420"/>
        <w:rPr>
          <w:rFonts w:ascii="宋体" w:hAnsi="宋体"/>
          <w:sz w:val="24"/>
        </w:rPr>
      </w:pPr>
      <w:r>
        <w:rPr>
          <w:rFonts w:hint="eastAsia" w:ascii="宋体" w:hAnsi="宋体"/>
          <w:sz w:val="24"/>
        </w:rPr>
        <w:t>第十一届全国大学生市场调查与分析大赛采取网上完成参赛学生报名注册、下载模拟试题、实践赛团队报名等操作以及在线学习等。报名和参赛须知如下：</w:t>
      </w:r>
    </w:p>
    <w:p>
      <w:pPr>
        <w:spacing w:before="240" w:line="460" w:lineRule="exact"/>
        <w:ind w:left="2181" w:right="69" w:rightChars="33" w:hanging="2181" w:hangingChars="776"/>
        <w:rPr>
          <w:rFonts w:ascii="宋体" w:hAnsi="宋体"/>
          <w:b/>
          <w:sz w:val="28"/>
          <w:szCs w:val="28"/>
        </w:rPr>
      </w:pPr>
      <w:r>
        <w:rPr>
          <w:rFonts w:hint="eastAsia" w:ascii="宋体" w:hAnsi="宋体"/>
          <w:b/>
          <w:sz w:val="28"/>
          <w:szCs w:val="28"/>
        </w:rPr>
        <w:t>一、个人报名</w:t>
      </w:r>
    </w:p>
    <w:p>
      <w:pPr>
        <w:spacing w:before="240" w:line="460" w:lineRule="exact"/>
        <w:ind w:left="1870" w:right="69" w:rightChars="33" w:hanging="1870" w:hangingChars="776"/>
        <w:rPr>
          <w:rFonts w:ascii="宋体" w:hAnsi="宋体"/>
          <w:sz w:val="24"/>
        </w:rPr>
      </w:pPr>
      <w:r>
        <w:rPr>
          <w:rFonts w:hint="eastAsia" w:ascii="宋体" w:hAnsi="宋体"/>
          <w:b/>
          <w:sz w:val="24"/>
        </w:rPr>
        <w:t>报名顺序：</w:t>
      </w:r>
      <w:r>
        <w:rPr>
          <w:rFonts w:hint="eastAsia" w:ascii="宋体" w:hAnsi="宋体"/>
          <w:sz w:val="24"/>
        </w:rPr>
        <w:t>个人网考报名（</w:t>
      </w:r>
      <w:r>
        <w:rPr>
          <w:rFonts w:hint="eastAsia" w:ascii="宋体" w:hAnsi="宋体"/>
          <w:color w:val="FF0000"/>
          <w:sz w:val="24"/>
        </w:rPr>
        <w:t>学生填报</w:t>
      </w:r>
      <w:r>
        <w:rPr>
          <w:rFonts w:hint="eastAsia" w:ascii="宋体" w:hAnsi="宋体"/>
          <w:sz w:val="24"/>
        </w:rPr>
        <w:t>）</w:t>
      </w:r>
      <w:r>
        <w:rPr>
          <w:rFonts w:hint="eastAsia" w:ascii="黑体" w:hAnsi="黑体" w:eastAsia="黑体"/>
          <w:sz w:val="24"/>
        </w:rPr>
        <w:t>→通过网考知识赛→</w:t>
      </w:r>
      <w:r>
        <w:rPr>
          <w:rFonts w:hint="eastAsia" w:ascii="宋体" w:hAnsi="宋体"/>
          <w:sz w:val="24"/>
        </w:rPr>
        <w:t>实践赛团队报名（</w:t>
      </w:r>
      <w:r>
        <w:rPr>
          <w:rFonts w:hint="eastAsia" w:ascii="宋体" w:hAnsi="宋体"/>
          <w:color w:val="FF0000"/>
          <w:sz w:val="24"/>
        </w:rPr>
        <w:t>学校组织</w:t>
      </w:r>
      <w:r>
        <w:rPr>
          <w:rFonts w:hint="eastAsia" w:ascii="宋体" w:hAnsi="宋体"/>
          <w:sz w:val="24"/>
        </w:rPr>
        <w:t>）。</w:t>
      </w:r>
    </w:p>
    <w:p>
      <w:pPr>
        <w:spacing w:before="240" w:line="460" w:lineRule="exact"/>
        <w:ind w:left="1219" w:right="69" w:rightChars="33" w:hanging="1219" w:hangingChars="506"/>
        <w:jc w:val="left"/>
        <w:rPr>
          <w:rFonts w:ascii="宋体" w:hAnsi="宋体"/>
          <w:sz w:val="24"/>
        </w:rPr>
      </w:pPr>
      <w:r>
        <w:rPr>
          <w:rFonts w:hint="eastAsia" w:ascii="宋体" w:hAnsi="宋体"/>
          <w:b/>
          <w:sz w:val="24"/>
        </w:rPr>
        <w:t>个人报名截止日期：</w:t>
      </w:r>
      <w:r>
        <w:rPr>
          <w:rFonts w:hint="eastAsia" w:ascii="宋体" w:hAnsi="宋体"/>
          <w:sz w:val="24"/>
        </w:rPr>
        <w:t>2020年10月20日24：00。</w:t>
      </w:r>
    </w:p>
    <w:p>
      <w:pPr>
        <w:spacing w:before="240" w:line="460" w:lineRule="exact"/>
        <w:ind w:left="1219" w:right="69" w:rightChars="33" w:hanging="1219" w:hangingChars="506"/>
        <w:jc w:val="left"/>
        <w:rPr>
          <w:rFonts w:ascii="宋体" w:hAnsi="宋体"/>
          <w:b/>
          <w:sz w:val="24"/>
        </w:rPr>
      </w:pPr>
      <w:r>
        <w:rPr>
          <w:rFonts w:hint="eastAsia" w:ascii="宋体" w:hAnsi="宋体"/>
          <w:b/>
          <w:sz w:val="24"/>
        </w:rPr>
        <w:t>个人网报流程：</w:t>
      </w:r>
    </w:p>
    <w:p>
      <w:pPr>
        <w:spacing w:line="460" w:lineRule="exact"/>
        <w:ind w:left="1560" w:right="69" w:rightChars="33" w:hanging="1560" w:hangingChars="650"/>
        <w:jc w:val="left"/>
        <w:rPr>
          <w:rFonts w:ascii="宋体" w:hAnsi="宋体"/>
          <w:sz w:val="24"/>
        </w:rPr>
      </w:pPr>
      <w:r>
        <w:rPr>
          <w:rFonts w:hint="eastAsia" w:ascii="宋体" w:hAnsi="宋体"/>
          <w:sz w:val="24"/>
        </w:rPr>
        <w:t>1、进入中国商业统计学会官网：</w:t>
      </w:r>
      <w:r>
        <w:fldChar w:fldCharType="begin"/>
      </w:r>
      <w:r>
        <w:instrText xml:space="preserve"> HYPERLINK "http://www.china-cssc.org/" </w:instrText>
      </w:r>
      <w:r>
        <w:fldChar w:fldCharType="separate"/>
      </w:r>
      <w:r>
        <w:rPr>
          <w:rStyle w:val="12"/>
          <w:rFonts w:hint="eastAsia" w:ascii="宋体" w:hAnsi="宋体" w:cs="宋体"/>
          <w:bCs/>
          <w:sz w:val="24"/>
        </w:rPr>
        <w:t>http://www.china-cssc.org/</w:t>
      </w:r>
      <w:r>
        <w:rPr>
          <w:rStyle w:val="12"/>
          <w:rFonts w:hint="eastAsia" w:ascii="宋体" w:hAnsi="宋体" w:cs="宋体"/>
          <w:bCs/>
          <w:sz w:val="24"/>
        </w:rPr>
        <w:fldChar w:fldCharType="end"/>
      </w:r>
    </w:p>
    <w:p>
      <w:pPr>
        <w:spacing w:before="240" w:after="240"/>
        <w:outlineLvl w:val="0"/>
        <w:rPr>
          <w:rFonts w:ascii="宋体" w:hAnsi="宋体" w:cs="宋体"/>
          <w:bCs/>
          <w:kern w:val="0"/>
          <w:sz w:val="24"/>
        </w:rPr>
      </w:pPr>
      <w:r>
        <w:rPr>
          <w:rFonts w:hint="eastAsia" w:ascii="宋体" w:hAnsi="宋体" w:cs="宋体"/>
          <w:bCs/>
          <w:kern w:val="0"/>
          <w:sz w:val="24"/>
        </w:rPr>
        <w:t xml:space="preserve">2、点击 </w:t>
      </w:r>
      <w:r>
        <w:rPr>
          <w:rFonts w:hint="eastAsia" w:ascii="宋体" w:hAnsi="宋体" w:cs="宋体"/>
          <w:bCs/>
          <w:color w:val="FF0000"/>
          <w:kern w:val="0"/>
          <w:sz w:val="24"/>
          <w:bdr w:val="single" w:color="auto" w:sz="4" w:space="0"/>
        </w:rPr>
        <w:t>调查分析技能大赛</w:t>
      </w:r>
      <w:r>
        <w:rPr>
          <w:rFonts w:hint="eastAsia" w:ascii="宋体" w:hAnsi="宋体" w:cs="宋体"/>
          <w:bCs/>
          <w:kern w:val="0"/>
          <w:sz w:val="24"/>
        </w:rPr>
        <w:t>，进入大赛专题页面。</w:t>
      </w:r>
    </w:p>
    <w:p>
      <w:pPr>
        <w:spacing w:before="240" w:after="240"/>
        <w:outlineLvl w:val="0"/>
        <w:rPr>
          <w:rFonts w:ascii="宋体" w:hAnsi="宋体" w:cs="宋体"/>
          <w:bCs/>
          <w:kern w:val="0"/>
          <w:sz w:val="24"/>
        </w:rPr>
      </w:pPr>
      <w:r>
        <w:rPr>
          <w:rFonts w:hint="eastAsia" w:ascii="宋体" w:hAnsi="宋体" w:cs="宋体"/>
          <w:bCs/>
          <w:kern w:val="0"/>
          <w:sz w:val="24"/>
        </w:rPr>
        <w:t>3、下拉右侧滚动条至</w:t>
      </w:r>
      <w:r>
        <w:rPr>
          <w:rFonts w:hint="eastAsia" w:ascii="宋体" w:hAnsi="宋体" w:cs="宋体"/>
          <w:bCs/>
          <w:color w:val="FF0000"/>
          <w:kern w:val="0"/>
          <w:sz w:val="24"/>
          <w:bdr w:val="single" w:color="auto" w:sz="4" w:space="0"/>
        </w:rPr>
        <w:t>在线报名</w:t>
      </w:r>
    </w:p>
    <w:p>
      <w:pPr>
        <w:outlineLvl w:val="0"/>
        <w:rPr>
          <w:rFonts w:ascii="宋体" w:hAnsi="宋体" w:cs="宋体"/>
          <w:bCs/>
          <w:kern w:val="0"/>
          <w:sz w:val="24"/>
        </w:rPr>
      </w:pPr>
      <w:r>
        <w:rPr>
          <w:rFonts w:hint="eastAsia" w:ascii="宋体" w:hAnsi="宋体" w:cs="宋体"/>
          <w:bCs/>
          <w:kern w:val="0"/>
          <w:sz w:val="24"/>
        </w:rPr>
        <w:t>4、点击</w:t>
      </w:r>
      <w:r>
        <w:rPr>
          <w:rFonts w:hint="eastAsia" w:ascii="宋体" w:hAnsi="宋体" w:cs="宋体"/>
          <w:bCs/>
          <w:color w:val="FF0000"/>
          <w:kern w:val="0"/>
          <w:sz w:val="24"/>
          <w:bdr w:val="single" w:color="auto" w:sz="4" w:space="0"/>
        </w:rPr>
        <w:t>个人网考报名</w:t>
      </w:r>
      <w:r>
        <w:rPr>
          <w:rFonts w:hint="eastAsia" w:ascii="宋体" w:hAnsi="宋体" w:cs="宋体"/>
          <w:bCs/>
          <w:kern w:val="0"/>
          <w:sz w:val="24"/>
        </w:rPr>
        <w:t>，如实填报并提交。</w:t>
      </w:r>
    </w:p>
    <w:p>
      <w:pPr>
        <w:spacing w:before="240" w:after="240"/>
        <w:ind w:left="480" w:hanging="480" w:hangingChars="200"/>
        <w:outlineLvl w:val="0"/>
        <w:rPr>
          <w:rFonts w:ascii="宋体" w:hAnsi="宋体" w:cs="宋体"/>
          <w:bCs/>
          <w:kern w:val="0"/>
          <w:sz w:val="24"/>
        </w:rPr>
      </w:pPr>
      <w:r>
        <w:rPr>
          <w:rFonts w:hint="eastAsia" w:ascii="宋体" w:hAnsi="宋体" w:cs="宋体"/>
          <w:bCs/>
          <w:kern w:val="0"/>
          <w:sz w:val="24"/>
        </w:rPr>
        <w:t xml:space="preserve">5. </w:t>
      </w:r>
      <w:r>
        <w:rPr>
          <w:rFonts w:hint="eastAsia" w:ascii="黑体" w:hAnsi="黑体" w:eastAsia="黑体" w:cs="宋体"/>
          <w:bCs/>
          <w:color w:val="FF0000"/>
          <w:kern w:val="0"/>
          <w:sz w:val="24"/>
        </w:rPr>
        <w:t>交参赛报名费30元</w:t>
      </w:r>
      <w:r>
        <w:rPr>
          <w:rFonts w:hint="eastAsia" w:ascii="宋体" w:hAnsi="宋体" w:cs="宋体"/>
          <w:bCs/>
          <w:kern w:val="0"/>
          <w:sz w:val="24"/>
        </w:rPr>
        <w:t>给公共管理学院308室范维老师（注：报名费统一上交组委会）</w:t>
      </w:r>
    </w:p>
    <w:p>
      <w:pPr>
        <w:spacing w:before="240" w:after="240"/>
        <w:ind w:left="480" w:hanging="480" w:hangingChars="200"/>
        <w:outlineLvl w:val="0"/>
        <w:rPr>
          <w:rFonts w:ascii="宋体" w:hAnsi="宋体" w:cs="宋体"/>
          <w:bCs/>
          <w:kern w:val="0"/>
          <w:sz w:val="24"/>
        </w:rPr>
      </w:pPr>
      <w:r>
        <w:rPr>
          <w:rFonts w:hint="eastAsia" w:ascii="宋体" w:hAnsi="宋体" w:cs="宋体"/>
          <w:bCs/>
          <w:kern w:val="0"/>
          <w:sz w:val="24"/>
        </w:rPr>
        <w:t>6. 点击</w:t>
      </w:r>
      <w:r>
        <w:rPr>
          <w:rFonts w:hint="eastAsia" w:ascii="宋体" w:hAnsi="宋体" w:cs="宋体"/>
          <w:bCs/>
          <w:color w:val="FF0000"/>
          <w:kern w:val="0"/>
          <w:sz w:val="24"/>
          <w:bdr w:val="single" w:color="auto" w:sz="4" w:space="0"/>
        </w:rPr>
        <w:t>查看网考报名或网考通过名单</w:t>
      </w:r>
      <w:r>
        <w:rPr>
          <w:rFonts w:hint="eastAsia" w:ascii="宋体" w:hAnsi="宋体" w:cs="宋体"/>
          <w:bCs/>
          <w:kern w:val="0"/>
          <w:sz w:val="24"/>
        </w:rPr>
        <w:t xml:space="preserve"> ，确认报名成功。</w:t>
      </w:r>
    </w:p>
    <w:p>
      <w:pPr>
        <w:spacing w:before="240" w:after="240"/>
        <w:ind w:left="480" w:hanging="480" w:hangingChars="200"/>
        <w:outlineLvl w:val="0"/>
        <w:rPr>
          <w:rFonts w:ascii="宋体" w:hAnsi="宋体" w:cs="宋体"/>
          <w:bCs/>
          <w:color w:val="FF0000"/>
          <w:kern w:val="0"/>
          <w:sz w:val="24"/>
        </w:rPr>
      </w:pPr>
      <w:r>
        <w:rPr>
          <w:rFonts w:hint="eastAsia" w:ascii="宋体" w:hAnsi="宋体" w:cs="宋体"/>
          <w:bCs/>
          <w:kern w:val="0"/>
          <w:sz w:val="24"/>
        </w:rPr>
        <w:t>7. 加入本校第十一届市调大赛</w:t>
      </w:r>
      <w:r>
        <w:rPr>
          <w:rFonts w:hint="eastAsia" w:ascii="黑体" w:hAnsi="黑体" w:eastAsia="黑体" w:cs="宋体"/>
          <w:bCs/>
          <w:color w:val="FF0000"/>
          <w:kern w:val="0"/>
          <w:sz w:val="24"/>
        </w:rPr>
        <w:t>QQ群：612159674</w:t>
      </w:r>
      <w:r>
        <w:rPr>
          <w:rFonts w:hint="eastAsia" w:ascii="宋体" w:hAnsi="宋体" w:cs="宋体"/>
          <w:bCs/>
          <w:kern w:val="0"/>
          <w:sz w:val="24"/>
        </w:rPr>
        <w:t>。</w:t>
      </w:r>
    </w:p>
    <w:p>
      <w:pPr>
        <w:spacing w:before="240" w:after="240"/>
        <w:ind w:left="480" w:hanging="480" w:hangingChars="200"/>
        <w:outlineLvl w:val="0"/>
        <w:rPr>
          <w:rFonts w:ascii="宋体" w:hAnsi="宋体" w:cs="宋体"/>
          <w:bCs/>
          <w:kern w:val="0"/>
          <w:sz w:val="24"/>
        </w:rPr>
      </w:pPr>
      <w:r>
        <w:rPr>
          <w:rFonts w:hint="eastAsia" w:ascii="宋体" w:hAnsi="宋体" w:cs="宋体"/>
          <w:bCs/>
          <w:color w:val="FF0000"/>
          <w:kern w:val="0"/>
          <w:sz w:val="24"/>
        </w:rPr>
        <w:t>注：</w:t>
      </w:r>
      <w:r>
        <w:rPr>
          <w:rFonts w:hint="eastAsia" w:ascii="宋体" w:hAnsi="宋体" w:cs="宋体"/>
          <w:bCs/>
          <w:kern w:val="0"/>
          <w:sz w:val="24"/>
        </w:rPr>
        <w:t>1、湘潭大学参赛代码为：</w:t>
      </w:r>
      <w:r>
        <w:rPr>
          <w:rFonts w:ascii="微软雅黑" w:hAnsi="微软雅黑" w:eastAsia="微软雅黑" w:cs="微软雅黑"/>
          <w:b/>
          <w:color w:val="333333"/>
          <w:sz w:val="33"/>
          <w:szCs w:val="33"/>
          <w:shd w:val="clear" w:color="auto" w:fill="FFFFFF"/>
        </w:rPr>
        <w:t>202009240650573525</w:t>
      </w:r>
      <w:r>
        <w:rPr>
          <w:rFonts w:hint="eastAsia" w:ascii="宋体" w:hAnsi="宋体" w:cs="宋体"/>
          <w:bCs/>
          <w:kern w:val="0"/>
          <w:sz w:val="24"/>
        </w:rPr>
        <w:t>。</w:t>
      </w:r>
    </w:p>
    <w:p>
      <w:pPr>
        <w:spacing w:before="240" w:after="240"/>
        <w:ind w:left="420" w:leftChars="200"/>
        <w:outlineLvl w:val="0"/>
        <w:rPr>
          <w:rFonts w:ascii="宋体" w:hAnsi="宋体" w:cs="宋体"/>
          <w:bCs/>
          <w:kern w:val="0"/>
          <w:sz w:val="24"/>
        </w:rPr>
      </w:pPr>
      <w:r>
        <w:rPr>
          <w:rFonts w:hint="eastAsia" w:ascii="宋体" w:hAnsi="宋体" w:cs="宋体"/>
          <w:bCs/>
          <w:kern w:val="0"/>
          <w:sz w:val="24"/>
        </w:rPr>
        <w:t>2、</w:t>
      </w:r>
      <w:r>
        <w:rPr>
          <w:rFonts w:hint="eastAsia" w:ascii="宋体" w:hAnsi="宋体" w:cs="宋体"/>
          <w:bCs/>
          <w:kern w:val="0"/>
          <w:sz w:val="24"/>
          <w:highlight w:val="yellow"/>
        </w:rPr>
        <w:t>网考系统登录时，需要输入本人手机号码和手机接收到的短信验证码才能进入网考页面，因此，个人网考报名时填报的手机号码一定要填本人现在正常使用的号码。</w:t>
      </w:r>
    </w:p>
    <w:p>
      <w:pPr>
        <w:spacing w:before="240" w:after="240"/>
        <w:outlineLvl w:val="0"/>
        <w:rPr>
          <w:rFonts w:ascii="宋体" w:hAnsi="宋体" w:cs="宋体"/>
          <w:b/>
          <w:bCs/>
          <w:kern w:val="0"/>
          <w:sz w:val="28"/>
          <w:szCs w:val="28"/>
        </w:rPr>
      </w:pPr>
      <w:r>
        <w:rPr>
          <w:rFonts w:hint="eastAsia" w:ascii="宋体" w:hAnsi="宋体" w:cs="宋体"/>
          <w:b/>
          <w:bCs/>
          <w:kern w:val="0"/>
          <w:sz w:val="28"/>
          <w:szCs w:val="28"/>
        </w:rPr>
        <w:t>二、知识赛</w:t>
      </w:r>
    </w:p>
    <w:p>
      <w:pPr>
        <w:spacing w:before="240" w:after="240"/>
        <w:rPr>
          <w:rFonts w:ascii="宋体" w:hAnsi="宋体"/>
          <w:sz w:val="24"/>
        </w:rPr>
      </w:pPr>
      <w:r>
        <w:rPr>
          <w:rFonts w:hint="eastAsia"/>
          <w:b/>
          <w:sz w:val="24"/>
        </w:rPr>
        <w:t>（一）竞赛内容及分值构成</w:t>
      </w:r>
      <w:r>
        <w:rPr>
          <w:rFonts w:hint="eastAsia" w:ascii="宋体" w:hAnsi="宋体"/>
          <w:sz w:val="24"/>
        </w:rPr>
        <w:t>（随网考通知另行下发）</w:t>
      </w:r>
    </w:p>
    <w:p>
      <w:pPr>
        <w:spacing w:before="240" w:after="240"/>
        <w:rPr>
          <w:b/>
          <w:sz w:val="24"/>
        </w:rPr>
      </w:pPr>
      <w:r>
        <w:rPr>
          <w:rFonts w:hint="eastAsia"/>
          <w:b/>
          <w:sz w:val="24"/>
        </w:rPr>
        <w:t>（二）竞赛形式：</w:t>
      </w:r>
      <w:r>
        <w:rPr>
          <w:rFonts w:hint="eastAsia"/>
          <w:sz w:val="24"/>
        </w:rPr>
        <w:t>个人赛，在线考试，100分钟。60分及以上为合格。</w:t>
      </w:r>
    </w:p>
    <w:p>
      <w:pPr>
        <w:spacing w:line="360" w:lineRule="auto"/>
        <w:rPr>
          <w:rFonts w:ascii="宋体" w:hAnsi="宋体"/>
          <w:sz w:val="24"/>
        </w:rPr>
      </w:pPr>
      <w:r>
        <w:rPr>
          <w:rFonts w:hint="eastAsia" w:ascii="宋体" w:hAnsi="宋体"/>
          <w:b/>
          <w:sz w:val="24"/>
        </w:rPr>
        <w:t>（三）竞赛时间：</w:t>
      </w:r>
      <w:r>
        <w:rPr>
          <w:sz w:val="24"/>
        </w:rPr>
        <w:t>20</w:t>
      </w:r>
      <w:r>
        <w:rPr>
          <w:rFonts w:hint="eastAsia"/>
          <w:sz w:val="24"/>
        </w:rPr>
        <w:t>20</w:t>
      </w:r>
      <w:r>
        <w:rPr>
          <w:rFonts w:hAnsi="宋体"/>
          <w:sz w:val="24"/>
        </w:rPr>
        <w:t>年</w:t>
      </w:r>
      <w:r>
        <w:rPr>
          <w:sz w:val="24"/>
        </w:rPr>
        <w:t>11</w:t>
      </w:r>
      <w:r>
        <w:rPr>
          <w:rFonts w:hAnsi="宋体"/>
          <w:sz w:val="24"/>
        </w:rPr>
        <w:t>月</w:t>
      </w:r>
      <w:r>
        <w:rPr>
          <w:rFonts w:hint="eastAsia"/>
          <w:sz w:val="24"/>
        </w:rPr>
        <w:t>1</w:t>
      </w:r>
      <w:r>
        <w:rPr>
          <w:rFonts w:hAnsi="宋体"/>
          <w:sz w:val="24"/>
        </w:rPr>
        <w:t>日至</w:t>
      </w:r>
      <w:r>
        <w:rPr>
          <w:sz w:val="24"/>
        </w:rPr>
        <w:t>1</w:t>
      </w:r>
      <w:r>
        <w:rPr>
          <w:rFonts w:hint="eastAsia"/>
          <w:sz w:val="24"/>
        </w:rPr>
        <w:t>1</w:t>
      </w:r>
      <w:r>
        <w:rPr>
          <w:rFonts w:hAnsi="宋体"/>
          <w:sz w:val="24"/>
        </w:rPr>
        <w:t>月</w:t>
      </w:r>
      <w:r>
        <w:rPr>
          <w:rFonts w:hint="eastAsia"/>
          <w:sz w:val="24"/>
        </w:rPr>
        <w:t>30</w:t>
      </w:r>
      <w:r>
        <w:rPr>
          <w:rFonts w:hint="eastAsia" w:ascii="宋体" w:hAnsi="宋体"/>
          <w:sz w:val="24"/>
        </w:rPr>
        <w:t>日，期间每日</w:t>
      </w:r>
      <w:r>
        <w:rPr>
          <w:sz w:val="24"/>
        </w:rPr>
        <w:t>9</w:t>
      </w:r>
      <w:r>
        <w:rPr>
          <w:rFonts w:hAnsi="宋体"/>
          <w:sz w:val="24"/>
        </w:rPr>
        <w:t>：</w:t>
      </w:r>
      <w:r>
        <w:rPr>
          <w:sz w:val="24"/>
        </w:rPr>
        <w:t>00-22</w:t>
      </w:r>
      <w:r>
        <w:rPr>
          <w:rFonts w:hAnsi="宋体"/>
          <w:sz w:val="24"/>
        </w:rPr>
        <w:t>：</w:t>
      </w:r>
      <w:r>
        <w:rPr>
          <w:sz w:val="24"/>
        </w:rPr>
        <w:t>00</w:t>
      </w:r>
      <w:r>
        <w:rPr>
          <w:rFonts w:hint="eastAsia" w:ascii="宋体" w:hAnsi="宋体"/>
          <w:sz w:val="24"/>
        </w:rPr>
        <w:t>，考生可以任选100分钟参加在线考试；每人可以最多考两次，以本人最高分计算考试成绩。</w:t>
      </w:r>
      <w:r>
        <w:rPr>
          <w:sz w:val="24"/>
        </w:rPr>
        <w:t>20</w:t>
      </w:r>
      <w:r>
        <w:rPr>
          <w:rFonts w:hint="eastAsia"/>
          <w:sz w:val="24"/>
        </w:rPr>
        <w:t>20</w:t>
      </w:r>
      <w:r>
        <w:rPr>
          <w:rFonts w:hAnsi="宋体"/>
          <w:sz w:val="24"/>
        </w:rPr>
        <w:t>年</w:t>
      </w:r>
      <w:r>
        <w:rPr>
          <w:sz w:val="24"/>
        </w:rPr>
        <w:t>12</w:t>
      </w:r>
      <w:r>
        <w:rPr>
          <w:rFonts w:hAnsi="宋体"/>
          <w:sz w:val="24"/>
        </w:rPr>
        <w:t>月</w:t>
      </w:r>
      <w:r>
        <w:rPr>
          <w:rFonts w:hint="eastAsia"/>
          <w:sz w:val="24"/>
        </w:rPr>
        <w:t>10</w:t>
      </w:r>
      <w:r>
        <w:rPr>
          <w:rFonts w:hint="eastAsia" w:ascii="宋体" w:hAnsi="宋体"/>
          <w:sz w:val="24"/>
        </w:rPr>
        <w:t>日前将考试成绩发送到各参赛院校，由各参赛院校向竞赛选手公布竞赛成绩，也可以上大赛官网点击“查看网考通过名单”进行查询。</w:t>
      </w:r>
    </w:p>
    <w:p>
      <w:pPr>
        <w:spacing w:before="240" w:after="240"/>
        <w:rPr>
          <w:b/>
          <w:sz w:val="24"/>
        </w:rPr>
      </w:pPr>
      <w:r>
        <w:rPr>
          <w:rFonts w:hint="eastAsia"/>
          <w:b/>
          <w:sz w:val="24"/>
        </w:rPr>
        <w:t>（四）竞赛模拟题</w:t>
      </w:r>
    </w:p>
    <w:p>
      <w:pPr>
        <w:spacing w:line="360" w:lineRule="auto"/>
        <w:jc w:val="left"/>
        <w:rPr>
          <w:rFonts w:ascii="宋体" w:hAnsi="宋体" w:cs="宋体"/>
          <w:sz w:val="24"/>
        </w:rPr>
      </w:pPr>
      <w:r>
        <w:rPr>
          <w:rFonts w:hint="eastAsia" w:ascii="宋体" w:hAnsi="宋体" w:cs="宋体"/>
          <w:sz w:val="24"/>
        </w:rPr>
        <w:t>参赛选手可于</w:t>
      </w:r>
      <w:r>
        <w:rPr>
          <w:sz w:val="24"/>
        </w:rPr>
        <w:t>2020</w:t>
      </w:r>
      <w:r>
        <w:rPr>
          <w:rFonts w:hint="eastAsia" w:hAnsi="宋体" w:cs="宋体"/>
          <w:sz w:val="24"/>
        </w:rPr>
        <w:t>年</w:t>
      </w:r>
      <w:r>
        <w:rPr>
          <w:sz w:val="24"/>
        </w:rPr>
        <w:t>10</w:t>
      </w:r>
      <w:r>
        <w:rPr>
          <w:rFonts w:hint="eastAsia" w:hAnsi="宋体" w:cs="宋体"/>
          <w:sz w:val="24"/>
        </w:rPr>
        <w:t>月</w:t>
      </w:r>
      <w:r>
        <w:rPr>
          <w:sz w:val="24"/>
        </w:rPr>
        <w:t>25</w:t>
      </w:r>
      <w:r>
        <w:rPr>
          <w:rFonts w:hint="eastAsia" w:ascii="宋体" w:hAnsi="宋体" w:cs="宋体"/>
          <w:sz w:val="24"/>
        </w:rPr>
        <w:t>日后，登录中国商业统计学会官网</w:t>
      </w:r>
      <w:r>
        <w:fldChar w:fldCharType="begin"/>
      </w:r>
      <w:r>
        <w:instrText xml:space="preserve"> HYPERLINK "http://www.china-cssc.org" </w:instrText>
      </w:r>
      <w:r>
        <w:fldChar w:fldCharType="separate"/>
      </w:r>
      <w:r>
        <w:rPr>
          <w:rStyle w:val="12"/>
          <w:sz w:val="24"/>
        </w:rPr>
        <w:t>http://www.china-cssc.org</w:t>
      </w:r>
      <w:r>
        <w:rPr>
          <w:rStyle w:val="12"/>
          <w:sz w:val="24"/>
        </w:rPr>
        <w:fldChar w:fldCharType="end"/>
      </w:r>
      <w:r>
        <w:rPr>
          <w:rFonts w:hint="eastAsia" w:ascii="宋体" w:hAnsi="宋体" w:cs="宋体"/>
          <w:sz w:val="24"/>
        </w:rPr>
        <w:t>，点击“第十一届市场调查与分析大赛”专题网页，点击“学习天地”下载模拟卷线下练习，也可在</w:t>
      </w:r>
      <w:r>
        <w:rPr>
          <w:sz w:val="24"/>
        </w:rPr>
        <w:t>2020</w:t>
      </w:r>
      <w:r>
        <w:rPr>
          <w:rFonts w:hint="eastAsia" w:cs="宋体"/>
          <w:sz w:val="24"/>
        </w:rPr>
        <w:t>年</w:t>
      </w:r>
      <w:r>
        <w:rPr>
          <w:sz w:val="24"/>
        </w:rPr>
        <w:t>10</w:t>
      </w:r>
      <w:r>
        <w:rPr>
          <w:rFonts w:hint="eastAsia" w:cs="宋体"/>
          <w:sz w:val="24"/>
        </w:rPr>
        <w:t>月</w:t>
      </w:r>
      <w:r>
        <w:rPr>
          <w:sz w:val="24"/>
        </w:rPr>
        <w:t>25</w:t>
      </w:r>
      <w:r>
        <w:rPr>
          <w:rFonts w:hint="eastAsia" w:cs="宋体"/>
          <w:sz w:val="24"/>
        </w:rPr>
        <w:t>日</w:t>
      </w:r>
      <w:r>
        <w:rPr>
          <w:sz w:val="24"/>
        </w:rPr>
        <w:t>-10</w:t>
      </w:r>
      <w:r>
        <w:rPr>
          <w:rFonts w:hint="eastAsia" w:cs="宋体"/>
          <w:sz w:val="24"/>
        </w:rPr>
        <w:t>月</w:t>
      </w:r>
      <w:r>
        <w:rPr>
          <w:sz w:val="24"/>
        </w:rPr>
        <w:t>30</w:t>
      </w:r>
      <w:r>
        <w:rPr>
          <w:rFonts w:hint="eastAsia" w:cs="宋体"/>
          <w:sz w:val="24"/>
        </w:rPr>
        <w:t>日</w:t>
      </w:r>
      <w:r>
        <w:rPr>
          <w:rFonts w:hint="eastAsia" w:ascii="宋体" w:hAnsi="宋体" w:cs="宋体"/>
          <w:sz w:val="24"/>
        </w:rPr>
        <w:t>期间，登录中国商业统计学会官网点击“网考平台”进行在线练习。</w:t>
      </w:r>
    </w:p>
    <w:p>
      <w:pPr>
        <w:spacing w:before="240" w:after="240"/>
        <w:outlineLvl w:val="0"/>
        <w:rPr>
          <w:rFonts w:ascii="宋体" w:hAnsi="宋体" w:cs="宋体"/>
          <w:bCs/>
          <w:kern w:val="0"/>
          <w:sz w:val="24"/>
        </w:rPr>
      </w:pPr>
    </w:p>
    <w:p>
      <w:pPr>
        <w:spacing w:before="240" w:after="240"/>
        <w:outlineLvl w:val="0"/>
        <w:rPr>
          <w:rFonts w:ascii="宋体" w:hAnsi="宋体" w:cs="宋体"/>
          <w:b/>
          <w:bCs/>
          <w:kern w:val="0"/>
          <w:sz w:val="28"/>
          <w:szCs w:val="28"/>
        </w:rPr>
      </w:pPr>
      <w:r>
        <w:rPr>
          <w:rFonts w:hint="eastAsia" w:ascii="宋体" w:hAnsi="宋体" w:cs="宋体"/>
          <w:b/>
          <w:bCs/>
          <w:kern w:val="0"/>
          <w:sz w:val="28"/>
          <w:szCs w:val="28"/>
        </w:rPr>
        <w:t>三、实践赛</w:t>
      </w:r>
    </w:p>
    <w:p>
      <w:pPr>
        <w:spacing w:line="360" w:lineRule="auto"/>
        <w:ind w:firstLine="480" w:firstLineChars="200"/>
        <w:rPr>
          <w:sz w:val="24"/>
        </w:rPr>
      </w:pPr>
      <w:r>
        <w:rPr>
          <w:rFonts w:hint="eastAsia" w:ascii="宋体" w:hAnsi="宋体"/>
          <w:sz w:val="24"/>
        </w:rPr>
        <w:t>通过知识赛的选手组队（3-5人）参加学校实践赛，获得学校特等奖的团队晋级省分区赛，省级一等奖中的优胜团队晋级全国总决赛。</w:t>
      </w:r>
      <w:r>
        <w:rPr>
          <w:rFonts w:hint="eastAsia" w:cs="宋体"/>
          <w:sz w:val="24"/>
        </w:rPr>
        <w:t>实践赛具体方案可在</w:t>
      </w:r>
      <w:r>
        <w:rPr>
          <w:sz w:val="24"/>
        </w:rPr>
        <w:t>2020</w:t>
      </w:r>
      <w:r>
        <w:rPr>
          <w:rFonts w:hint="eastAsia" w:cs="宋体"/>
          <w:sz w:val="24"/>
        </w:rPr>
        <w:t>年</w:t>
      </w:r>
      <w:r>
        <w:rPr>
          <w:sz w:val="24"/>
        </w:rPr>
        <w:t>12</w:t>
      </w:r>
      <w:r>
        <w:rPr>
          <w:rFonts w:hint="eastAsia" w:cs="宋体"/>
          <w:sz w:val="24"/>
        </w:rPr>
        <w:t>月</w:t>
      </w:r>
      <w:r>
        <w:rPr>
          <w:sz w:val="24"/>
        </w:rPr>
        <w:t>20</w:t>
      </w:r>
      <w:r>
        <w:rPr>
          <w:rFonts w:hint="eastAsia" w:cs="宋体"/>
          <w:sz w:val="24"/>
        </w:rPr>
        <w:t>日后登陆大赛网站</w:t>
      </w:r>
      <w:r>
        <w:fldChar w:fldCharType="begin"/>
      </w:r>
      <w:r>
        <w:instrText xml:space="preserve"> HYPERLINK "http://www.china-cssc.org" </w:instrText>
      </w:r>
      <w:r>
        <w:fldChar w:fldCharType="separate"/>
      </w:r>
      <w:r>
        <w:rPr>
          <w:rStyle w:val="12"/>
          <w:sz w:val="24"/>
        </w:rPr>
        <w:t>http://www.china-cssc.org</w:t>
      </w:r>
      <w:r>
        <w:rPr>
          <w:rStyle w:val="12"/>
          <w:sz w:val="24"/>
        </w:rPr>
        <w:fldChar w:fldCharType="end"/>
      </w:r>
      <w:r>
        <w:rPr>
          <w:rFonts w:hint="eastAsia" w:cs="宋体"/>
          <w:sz w:val="24"/>
        </w:rPr>
        <w:t>查询。</w:t>
      </w:r>
    </w:p>
    <w:p>
      <w:pPr>
        <w:spacing w:line="360" w:lineRule="auto"/>
        <w:rPr>
          <w:rFonts w:ascii="宋体" w:hAnsi="宋体"/>
          <w:b/>
          <w:sz w:val="24"/>
        </w:rPr>
      </w:pPr>
    </w:p>
    <w:p>
      <w:pPr>
        <w:spacing w:after="240"/>
        <w:outlineLvl w:val="0"/>
        <w:rPr>
          <w:rFonts w:ascii="宋体" w:hAnsi="宋体" w:cs="宋体"/>
          <w:b/>
          <w:sz w:val="28"/>
          <w:szCs w:val="28"/>
        </w:rPr>
      </w:pPr>
      <w:r>
        <w:rPr>
          <w:rFonts w:hint="eastAsia" w:ascii="宋体" w:hAnsi="宋体" w:cs="宋体"/>
          <w:b/>
          <w:bCs/>
          <w:kern w:val="0"/>
          <w:sz w:val="28"/>
          <w:szCs w:val="28"/>
        </w:rPr>
        <w:t>四、</w:t>
      </w:r>
      <w:r>
        <w:rPr>
          <w:rFonts w:hint="eastAsia" w:ascii="宋体" w:hAnsi="宋体" w:cs="宋体"/>
          <w:b/>
          <w:kern w:val="0"/>
          <w:sz w:val="28"/>
          <w:szCs w:val="28"/>
        </w:rPr>
        <w:t xml:space="preserve">竞赛日程 </w:t>
      </w:r>
    </w:p>
    <w:tbl>
      <w:tblPr>
        <w:tblStyle w:val="8"/>
        <w:tblW w:w="9513" w:type="dxa"/>
        <w:tblInd w:w="93" w:type="dxa"/>
        <w:tblLayout w:type="autofit"/>
        <w:tblCellMar>
          <w:top w:w="0" w:type="dxa"/>
          <w:left w:w="108" w:type="dxa"/>
          <w:bottom w:w="0" w:type="dxa"/>
          <w:right w:w="108" w:type="dxa"/>
        </w:tblCellMar>
      </w:tblPr>
      <w:tblGrid>
        <w:gridCol w:w="582"/>
        <w:gridCol w:w="1079"/>
        <w:gridCol w:w="2322"/>
        <w:gridCol w:w="1135"/>
        <w:gridCol w:w="1396"/>
        <w:gridCol w:w="1864"/>
        <w:gridCol w:w="1135"/>
      </w:tblGrid>
      <w:tr>
        <w:tblPrEx>
          <w:tblCellMar>
            <w:top w:w="0" w:type="dxa"/>
            <w:left w:w="108" w:type="dxa"/>
            <w:bottom w:w="0" w:type="dxa"/>
            <w:right w:w="108" w:type="dxa"/>
          </w:tblCellMar>
        </w:tblPrEx>
        <w:trPr>
          <w:trHeight w:val="435" w:hRule="atLeast"/>
        </w:trPr>
        <w:tc>
          <w:tcPr>
            <w:tcW w:w="582" w:type="dxa"/>
            <w:tcBorders>
              <w:top w:val="single" w:color="auto" w:sz="8" w:space="0"/>
              <w:left w:val="single" w:color="auto" w:sz="8" w:space="0"/>
              <w:bottom w:val="single" w:color="auto" w:sz="8" w:space="0"/>
              <w:right w:val="single" w:color="auto" w:sz="8" w:space="0"/>
            </w:tcBorders>
            <w:shd w:val="clear" w:color="auto" w:fill="FABF8F"/>
          </w:tcPr>
          <w:p>
            <w:pPr>
              <w:widowControl/>
              <w:jc w:val="center"/>
              <w:rPr>
                <w:rFonts w:ascii="宋体" w:hAnsi="宋体" w:cs="宋体"/>
                <w:b/>
                <w:color w:val="000000"/>
                <w:kern w:val="0"/>
                <w:szCs w:val="21"/>
              </w:rPr>
            </w:pPr>
            <w:r>
              <w:rPr>
                <w:rFonts w:hint="eastAsia" w:ascii="宋体" w:hAnsi="宋体" w:cs="宋体"/>
                <w:b/>
                <w:color w:val="000000"/>
                <w:kern w:val="0"/>
                <w:szCs w:val="21"/>
              </w:rPr>
              <w:t>　</w:t>
            </w:r>
          </w:p>
        </w:tc>
        <w:tc>
          <w:tcPr>
            <w:tcW w:w="3404" w:type="dxa"/>
            <w:gridSpan w:val="2"/>
            <w:tcBorders>
              <w:top w:val="single" w:color="auto" w:sz="8" w:space="0"/>
              <w:left w:val="nil"/>
              <w:bottom w:val="single" w:color="auto" w:sz="8" w:space="0"/>
              <w:right w:val="single" w:color="000000" w:sz="8" w:space="0"/>
            </w:tcBorders>
            <w:shd w:val="clear" w:color="auto" w:fill="FABF8F"/>
            <w:vAlign w:val="center"/>
          </w:tcPr>
          <w:p>
            <w:pPr>
              <w:widowControl/>
              <w:jc w:val="center"/>
              <w:rPr>
                <w:rFonts w:ascii="宋体" w:hAnsi="宋体" w:cs="宋体"/>
                <w:b/>
                <w:color w:val="000000"/>
                <w:kern w:val="0"/>
                <w:szCs w:val="21"/>
              </w:rPr>
            </w:pPr>
            <w:r>
              <w:rPr>
                <w:rFonts w:hint="eastAsia" w:ascii="宋体" w:hAnsi="宋体" w:cs="宋体"/>
                <w:b/>
                <w:color w:val="000000"/>
                <w:kern w:val="0"/>
                <w:szCs w:val="21"/>
              </w:rPr>
              <w:t>竞赛项目</w:t>
            </w:r>
          </w:p>
        </w:tc>
        <w:tc>
          <w:tcPr>
            <w:tcW w:w="1135" w:type="dxa"/>
            <w:tcBorders>
              <w:top w:val="single" w:color="auto" w:sz="8" w:space="0"/>
              <w:left w:val="nil"/>
              <w:bottom w:val="single" w:color="auto" w:sz="8" w:space="0"/>
              <w:right w:val="single" w:color="auto" w:sz="8" w:space="0"/>
            </w:tcBorders>
            <w:shd w:val="clear" w:color="auto" w:fill="FABF8F"/>
            <w:vAlign w:val="center"/>
          </w:tcPr>
          <w:p>
            <w:pPr>
              <w:widowControl/>
              <w:jc w:val="center"/>
              <w:rPr>
                <w:rFonts w:ascii="宋体" w:hAnsi="宋体" w:cs="宋体"/>
                <w:b/>
                <w:color w:val="000000"/>
                <w:kern w:val="0"/>
                <w:szCs w:val="21"/>
              </w:rPr>
            </w:pPr>
            <w:r>
              <w:rPr>
                <w:rFonts w:hint="eastAsia" w:ascii="宋体" w:hAnsi="宋体" w:cs="宋体"/>
                <w:b/>
                <w:color w:val="000000"/>
                <w:kern w:val="0"/>
                <w:szCs w:val="21"/>
              </w:rPr>
              <w:t>竞赛形式</w:t>
            </w:r>
          </w:p>
        </w:tc>
        <w:tc>
          <w:tcPr>
            <w:tcW w:w="1397" w:type="dxa"/>
            <w:tcBorders>
              <w:top w:val="single" w:color="auto" w:sz="8" w:space="0"/>
              <w:left w:val="nil"/>
              <w:bottom w:val="single" w:color="auto" w:sz="8" w:space="0"/>
              <w:right w:val="single" w:color="auto" w:sz="8" w:space="0"/>
            </w:tcBorders>
            <w:shd w:val="clear" w:color="auto" w:fill="FABF8F"/>
            <w:vAlign w:val="center"/>
          </w:tcPr>
          <w:p>
            <w:pPr>
              <w:widowControl/>
              <w:jc w:val="center"/>
              <w:rPr>
                <w:rFonts w:ascii="宋体" w:hAnsi="宋体" w:cs="宋体"/>
                <w:b/>
                <w:color w:val="000000"/>
                <w:kern w:val="0"/>
                <w:szCs w:val="21"/>
              </w:rPr>
            </w:pPr>
            <w:r>
              <w:rPr>
                <w:rFonts w:hint="eastAsia" w:ascii="宋体" w:hAnsi="宋体" w:cs="宋体"/>
                <w:b/>
                <w:color w:val="000000"/>
                <w:kern w:val="0"/>
                <w:szCs w:val="21"/>
              </w:rPr>
              <w:t>竞赛方式</w:t>
            </w:r>
          </w:p>
        </w:tc>
        <w:tc>
          <w:tcPr>
            <w:tcW w:w="1864" w:type="dxa"/>
            <w:tcBorders>
              <w:top w:val="single" w:color="auto" w:sz="8" w:space="0"/>
              <w:left w:val="nil"/>
              <w:bottom w:val="single" w:color="auto" w:sz="8" w:space="0"/>
              <w:right w:val="single" w:color="auto" w:sz="8" w:space="0"/>
            </w:tcBorders>
            <w:shd w:val="clear" w:color="auto" w:fill="FABF8F"/>
            <w:vAlign w:val="center"/>
          </w:tcPr>
          <w:p>
            <w:pPr>
              <w:widowControl/>
              <w:jc w:val="center"/>
              <w:rPr>
                <w:rFonts w:ascii="宋体" w:hAnsi="宋体" w:cs="宋体"/>
                <w:b/>
                <w:color w:val="000000"/>
                <w:kern w:val="0"/>
                <w:szCs w:val="21"/>
              </w:rPr>
            </w:pPr>
            <w:r>
              <w:rPr>
                <w:rFonts w:hint="eastAsia" w:ascii="宋体" w:hAnsi="宋体" w:cs="宋体"/>
                <w:b/>
                <w:color w:val="000000"/>
                <w:kern w:val="0"/>
                <w:szCs w:val="21"/>
              </w:rPr>
              <w:t>时间</w:t>
            </w:r>
          </w:p>
        </w:tc>
        <w:tc>
          <w:tcPr>
            <w:tcW w:w="1135" w:type="dxa"/>
            <w:tcBorders>
              <w:top w:val="single" w:color="auto" w:sz="8" w:space="0"/>
              <w:left w:val="nil"/>
              <w:bottom w:val="single" w:color="auto" w:sz="8" w:space="0"/>
              <w:right w:val="single" w:color="auto" w:sz="8" w:space="0"/>
            </w:tcBorders>
            <w:shd w:val="clear" w:color="auto" w:fill="FABF8F"/>
            <w:vAlign w:val="center"/>
          </w:tcPr>
          <w:p>
            <w:pPr>
              <w:widowControl/>
              <w:jc w:val="center"/>
              <w:rPr>
                <w:rFonts w:ascii="宋体" w:hAnsi="宋体" w:cs="宋体"/>
                <w:b/>
                <w:color w:val="000000"/>
                <w:kern w:val="0"/>
                <w:szCs w:val="21"/>
              </w:rPr>
            </w:pPr>
            <w:r>
              <w:rPr>
                <w:rFonts w:hint="eastAsia" w:ascii="宋体" w:hAnsi="宋体" w:cs="宋体"/>
                <w:b/>
                <w:color w:val="000000"/>
                <w:kern w:val="0"/>
                <w:szCs w:val="21"/>
              </w:rPr>
              <w:t>地点</w:t>
            </w:r>
          </w:p>
        </w:tc>
      </w:tr>
      <w:tr>
        <w:tblPrEx>
          <w:tblCellMar>
            <w:top w:w="0" w:type="dxa"/>
            <w:left w:w="108" w:type="dxa"/>
            <w:bottom w:w="0" w:type="dxa"/>
            <w:right w:w="108" w:type="dxa"/>
          </w:tblCellMar>
        </w:tblPrEx>
        <w:trPr>
          <w:trHeight w:val="270" w:hRule="atLeast"/>
        </w:trPr>
        <w:tc>
          <w:tcPr>
            <w:tcW w:w="582" w:type="dxa"/>
            <w:tcBorders>
              <w:top w:val="nil"/>
              <w:left w:val="single" w:color="auto" w:sz="8" w:space="0"/>
              <w:bottom w:val="nil"/>
              <w:right w:val="single" w:color="auto" w:sz="8" w:space="0"/>
            </w:tcBorders>
            <w:shd w:val="clear" w:color="auto" w:fill="FBD4B4"/>
            <w:vAlign w:val="center"/>
          </w:tcPr>
          <w:p>
            <w:pPr>
              <w:widowControl/>
              <w:jc w:val="center"/>
              <w:rPr>
                <w:rFonts w:ascii="宋体" w:hAnsi="宋体" w:cs="宋体"/>
                <w:b/>
                <w:color w:val="000000"/>
                <w:kern w:val="0"/>
                <w:szCs w:val="21"/>
              </w:rPr>
            </w:pPr>
            <w:r>
              <w:rPr>
                <w:rFonts w:hint="eastAsia" w:ascii="宋体" w:hAnsi="宋体" w:cs="宋体"/>
                <w:b/>
                <w:color w:val="000000"/>
                <w:kern w:val="0"/>
                <w:szCs w:val="21"/>
              </w:rPr>
              <w:t>知</w:t>
            </w:r>
          </w:p>
        </w:tc>
        <w:tc>
          <w:tcPr>
            <w:tcW w:w="3404" w:type="dxa"/>
            <w:gridSpan w:val="2"/>
            <w:vMerge w:val="restart"/>
            <w:tcBorders>
              <w:top w:val="single" w:color="auto" w:sz="8" w:space="0"/>
              <w:left w:val="single" w:color="auto" w:sz="8" w:space="0"/>
              <w:bottom w:val="single" w:color="auto" w:sz="8" w:space="0"/>
              <w:right w:val="single" w:color="000000" w:sz="8"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网 考</w:t>
            </w:r>
          </w:p>
        </w:tc>
        <w:tc>
          <w:tcPr>
            <w:tcW w:w="1135" w:type="dxa"/>
            <w:vMerge w:val="restart"/>
            <w:tcBorders>
              <w:top w:val="nil"/>
              <w:left w:val="single" w:color="auto" w:sz="8" w:space="0"/>
              <w:bottom w:val="single" w:color="000000" w:sz="8" w:space="0"/>
              <w:right w:val="single" w:color="auto" w:sz="8"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个人赛</w:t>
            </w:r>
          </w:p>
        </w:tc>
        <w:tc>
          <w:tcPr>
            <w:tcW w:w="1397" w:type="dxa"/>
            <w:vMerge w:val="restart"/>
            <w:tcBorders>
              <w:top w:val="nil"/>
              <w:left w:val="single" w:color="auto" w:sz="8" w:space="0"/>
              <w:bottom w:val="single" w:color="000000" w:sz="8" w:space="0"/>
              <w:right w:val="single" w:color="auto" w:sz="8"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在线考试</w:t>
            </w:r>
          </w:p>
        </w:tc>
        <w:tc>
          <w:tcPr>
            <w:tcW w:w="1864" w:type="dxa"/>
            <w:vMerge w:val="restart"/>
            <w:tcBorders>
              <w:top w:val="nil"/>
              <w:left w:val="single" w:color="auto" w:sz="8" w:space="0"/>
              <w:bottom w:val="single" w:color="000000" w:sz="8" w:space="0"/>
              <w:right w:val="single" w:color="auto" w:sz="8" w:space="0"/>
            </w:tcBorders>
            <w:shd w:val="clear" w:color="auto" w:fill="auto"/>
            <w:vAlign w:val="center"/>
          </w:tcPr>
          <w:p>
            <w:pPr>
              <w:widowControl/>
              <w:jc w:val="left"/>
              <w:rPr>
                <w:color w:val="000000"/>
                <w:kern w:val="0"/>
                <w:szCs w:val="21"/>
              </w:rPr>
            </w:pPr>
            <w:r>
              <w:rPr>
                <w:color w:val="000000"/>
                <w:kern w:val="0"/>
                <w:szCs w:val="21"/>
              </w:rPr>
              <w:t>2020.11.1-11.30</w:t>
            </w:r>
          </w:p>
        </w:tc>
        <w:tc>
          <w:tcPr>
            <w:tcW w:w="1135" w:type="dxa"/>
            <w:vMerge w:val="restart"/>
            <w:tcBorders>
              <w:top w:val="nil"/>
              <w:left w:val="single" w:color="auto" w:sz="8" w:space="0"/>
              <w:bottom w:val="single" w:color="000000" w:sz="8" w:space="0"/>
              <w:right w:val="single" w:color="auto" w:sz="8"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各参赛学校</w:t>
            </w:r>
          </w:p>
        </w:tc>
      </w:tr>
      <w:tr>
        <w:tblPrEx>
          <w:tblCellMar>
            <w:top w:w="0" w:type="dxa"/>
            <w:left w:w="108" w:type="dxa"/>
            <w:bottom w:w="0" w:type="dxa"/>
            <w:right w:w="108" w:type="dxa"/>
          </w:tblCellMar>
        </w:tblPrEx>
        <w:trPr>
          <w:trHeight w:val="270" w:hRule="atLeast"/>
        </w:trPr>
        <w:tc>
          <w:tcPr>
            <w:tcW w:w="582" w:type="dxa"/>
            <w:tcBorders>
              <w:top w:val="nil"/>
              <w:left w:val="single" w:color="auto" w:sz="8" w:space="0"/>
              <w:bottom w:val="nil"/>
              <w:right w:val="single" w:color="auto" w:sz="8" w:space="0"/>
            </w:tcBorders>
            <w:shd w:val="clear" w:color="auto" w:fill="FBD4B4"/>
            <w:vAlign w:val="center"/>
          </w:tcPr>
          <w:p>
            <w:pPr>
              <w:widowControl/>
              <w:jc w:val="center"/>
              <w:rPr>
                <w:rFonts w:ascii="宋体" w:hAnsi="宋体" w:cs="宋体"/>
                <w:b/>
                <w:color w:val="000000"/>
                <w:kern w:val="0"/>
                <w:szCs w:val="21"/>
              </w:rPr>
            </w:pPr>
            <w:r>
              <w:rPr>
                <w:rFonts w:hint="eastAsia" w:ascii="宋体" w:hAnsi="宋体" w:cs="宋体"/>
                <w:b/>
                <w:color w:val="000000"/>
                <w:kern w:val="0"/>
                <w:szCs w:val="21"/>
              </w:rPr>
              <w:t>识</w:t>
            </w:r>
          </w:p>
        </w:tc>
        <w:tc>
          <w:tcPr>
            <w:tcW w:w="3404" w:type="dxa"/>
            <w:gridSpan w:val="2"/>
            <w:vMerge w:val="continue"/>
            <w:tcBorders>
              <w:top w:val="single" w:color="auto" w:sz="8" w:space="0"/>
              <w:left w:val="single" w:color="auto" w:sz="8" w:space="0"/>
              <w:bottom w:val="single" w:color="auto" w:sz="8" w:space="0"/>
              <w:right w:val="single" w:color="000000" w:sz="8" w:space="0"/>
            </w:tcBorders>
            <w:shd w:val="clear" w:color="auto" w:fill="auto"/>
            <w:vAlign w:val="center"/>
          </w:tcPr>
          <w:p>
            <w:pPr>
              <w:rPr>
                <w:rFonts w:ascii="Calibri" w:hAnsi="Calibri"/>
                <w:szCs w:val="22"/>
              </w:rPr>
            </w:pPr>
          </w:p>
        </w:tc>
        <w:tc>
          <w:tcPr>
            <w:tcW w:w="1135" w:type="dxa"/>
            <w:vMerge w:val="continue"/>
            <w:tcBorders>
              <w:top w:val="nil"/>
              <w:left w:val="single" w:color="auto" w:sz="8" w:space="0"/>
              <w:bottom w:val="single" w:color="000000" w:sz="8" w:space="0"/>
              <w:right w:val="single" w:color="auto" w:sz="8" w:space="0"/>
            </w:tcBorders>
            <w:shd w:val="clear" w:color="auto" w:fill="auto"/>
            <w:vAlign w:val="center"/>
          </w:tcPr>
          <w:p>
            <w:pPr>
              <w:rPr>
                <w:rFonts w:ascii="Calibri" w:hAnsi="Calibri"/>
                <w:szCs w:val="22"/>
              </w:rPr>
            </w:pPr>
          </w:p>
        </w:tc>
        <w:tc>
          <w:tcPr>
            <w:tcW w:w="1397" w:type="dxa"/>
            <w:vMerge w:val="continue"/>
            <w:tcBorders>
              <w:top w:val="nil"/>
              <w:left w:val="single" w:color="auto" w:sz="8" w:space="0"/>
              <w:bottom w:val="single" w:color="000000" w:sz="8" w:space="0"/>
              <w:right w:val="single" w:color="auto" w:sz="8" w:space="0"/>
            </w:tcBorders>
            <w:shd w:val="clear" w:color="auto" w:fill="auto"/>
            <w:vAlign w:val="center"/>
          </w:tcPr>
          <w:p>
            <w:pPr>
              <w:rPr>
                <w:rFonts w:ascii="Calibri" w:hAnsi="Calibri"/>
                <w:szCs w:val="22"/>
              </w:rPr>
            </w:pPr>
          </w:p>
        </w:tc>
        <w:tc>
          <w:tcPr>
            <w:tcW w:w="1864" w:type="dxa"/>
            <w:vMerge w:val="continue"/>
            <w:tcBorders>
              <w:top w:val="nil"/>
              <w:left w:val="single" w:color="auto" w:sz="8" w:space="0"/>
              <w:bottom w:val="single" w:color="000000" w:sz="8" w:space="0"/>
              <w:right w:val="single" w:color="auto" w:sz="8" w:space="0"/>
            </w:tcBorders>
            <w:shd w:val="clear" w:color="auto" w:fill="auto"/>
            <w:vAlign w:val="center"/>
          </w:tcPr>
          <w:p>
            <w:pPr>
              <w:rPr>
                <w:rFonts w:ascii="Calibri" w:hAnsi="Calibri"/>
                <w:szCs w:val="22"/>
              </w:rPr>
            </w:pPr>
          </w:p>
        </w:tc>
        <w:tc>
          <w:tcPr>
            <w:tcW w:w="1135" w:type="dxa"/>
            <w:vMerge w:val="continue"/>
            <w:tcBorders>
              <w:top w:val="nil"/>
              <w:left w:val="single" w:color="auto" w:sz="8" w:space="0"/>
              <w:bottom w:val="single" w:color="000000" w:sz="8" w:space="0"/>
              <w:right w:val="single" w:color="auto" w:sz="8" w:space="0"/>
            </w:tcBorders>
            <w:shd w:val="clear" w:color="auto" w:fill="auto"/>
            <w:vAlign w:val="center"/>
          </w:tcPr>
          <w:p>
            <w:pPr>
              <w:rPr>
                <w:rFonts w:ascii="Calibri" w:hAnsi="Calibri"/>
                <w:szCs w:val="22"/>
              </w:rPr>
            </w:pPr>
          </w:p>
        </w:tc>
      </w:tr>
      <w:tr>
        <w:tblPrEx>
          <w:tblCellMar>
            <w:top w:w="0" w:type="dxa"/>
            <w:left w:w="108" w:type="dxa"/>
            <w:bottom w:w="0" w:type="dxa"/>
            <w:right w:w="108" w:type="dxa"/>
          </w:tblCellMar>
        </w:tblPrEx>
        <w:trPr>
          <w:trHeight w:val="510" w:hRule="atLeast"/>
        </w:trPr>
        <w:tc>
          <w:tcPr>
            <w:tcW w:w="582" w:type="dxa"/>
            <w:tcBorders>
              <w:top w:val="nil"/>
              <w:left w:val="single" w:color="auto" w:sz="8" w:space="0"/>
              <w:bottom w:val="single" w:color="auto" w:sz="8" w:space="0"/>
              <w:right w:val="single" w:color="auto" w:sz="8" w:space="0"/>
            </w:tcBorders>
            <w:shd w:val="clear" w:color="auto" w:fill="FBD4B4"/>
            <w:vAlign w:val="center"/>
          </w:tcPr>
          <w:p>
            <w:pPr>
              <w:widowControl/>
              <w:jc w:val="center"/>
              <w:rPr>
                <w:rFonts w:ascii="宋体" w:hAnsi="宋体" w:cs="宋体"/>
                <w:b/>
                <w:color w:val="000000"/>
                <w:kern w:val="0"/>
                <w:szCs w:val="21"/>
              </w:rPr>
            </w:pPr>
            <w:r>
              <w:rPr>
                <w:rFonts w:hint="eastAsia" w:ascii="宋体" w:hAnsi="宋体" w:cs="宋体"/>
                <w:b/>
                <w:color w:val="000000"/>
                <w:kern w:val="0"/>
                <w:szCs w:val="21"/>
              </w:rPr>
              <w:t>赛</w:t>
            </w:r>
          </w:p>
        </w:tc>
        <w:tc>
          <w:tcPr>
            <w:tcW w:w="3404" w:type="dxa"/>
            <w:gridSpan w:val="2"/>
            <w:vMerge w:val="continue"/>
            <w:tcBorders>
              <w:top w:val="single" w:color="auto" w:sz="8" w:space="0"/>
              <w:left w:val="single" w:color="auto" w:sz="8" w:space="0"/>
              <w:bottom w:val="single" w:color="auto" w:sz="8" w:space="0"/>
              <w:right w:val="single" w:color="000000" w:sz="8" w:space="0"/>
            </w:tcBorders>
            <w:shd w:val="clear" w:color="auto" w:fill="auto"/>
            <w:vAlign w:val="center"/>
          </w:tcPr>
          <w:p>
            <w:pPr>
              <w:rPr>
                <w:rFonts w:ascii="Calibri" w:hAnsi="Calibri"/>
                <w:szCs w:val="22"/>
              </w:rPr>
            </w:pPr>
          </w:p>
        </w:tc>
        <w:tc>
          <w:tcPr>
            <w:tcW w:w="1135" w:type="dxa"/>
            <w:vMerge w:val="continue"/>
            <w:tcBorders>
              <w:top w:val="nil"/>
              <w:left w:val="single" w:color="auto" w:sz="8" w:space="0"/>
              <w:bottom w:val="single" w:color="000000" w:sz="8" w:space="0"/>
              <w:right w:val="single" w:color="auto" w:sz="8" w:space="0"/>
            </w:tcBorders>
            <w:shd w:val="clear" w:color="auto" w:fill="auto"/>
            <w:vAlign w:val="center"/>
          </w:tcPr>
          <w:p>
            <w:pPr>
              <w:rPr>
                <w:rFonts w:ascii="Calibri" w:hAnsi="Calibri"/>
                <w:szCs w:val="22"/>
              </w:rPr>
            </w:pPr>
          </w:p>
        </w:tc>
        <w:tc>
          <w:tcPr>
            <w:tcW w:w="1397" w:type="dxa"/>
            <w:vMerge w:val="continue"/>
            <w:tcBorders>
              <w:top w:val="nil"/>
              <w:left w:val="single" w:color="auto" w:sz="8" w:space="0"/>
              <w:bottom w:val="single" w:color="000000" w:sz="8" w:space="0"/>
              <w:right w:val="single" w:color="auto" w:sz="8" w:space="0"/>
            </w:tcBorders>
            <w:shd w:val="clear" w:color="auto" w:fill="auto"/>
            <w:vAlign w:val="center"/>
          </w:tcPr>
          <w:p>
            <w:pPr>
              <w:rPr>
                <w:rFonts w:ascii="Calibri" w:hAnsi="Calibri"/>
                <w:szCs w:val="22"/>
              </w:rPr>
            </w:pPr>
          </w:p>
        </w:tc>
        <w:tc>
          <w:tcPr>
            <w:tcW w:w="1864" w:type="dxa"/>
            <w:vMerge w:val="continue"/>
            <w:tcBorders>
              <w:top w:val="nil"/>
              <w:left w:val="single" w:color="auto" w:sz="8" w:space="0"/>
              <w:bottom w:val="single" w:color="000000" w:sz="8" w:space="0"/>
              <w:right w:val="single" w:color="auto" w:sz="8" w:space="0"/>
            </w:tcBorders>
            <w:shd w:val="clear" w:color="auto" w:fill="auto"/>
            <w:vAlign w:val="center"/>
          </w:tcPr>
          <w:p>
            <w:pPr>
              <w:rPr>
                <w:rFonts w:ascii="Calibri" w:hAnsi="Calibri"/>
                <w:szCs w:val="22"/>
              </w:rPr>
            </w:pPr>
          </w:p>
        </w:tc>
        <w:tc>
          <w:tcPr>
            <w:tcW w:w="1135" w:type="dxa"/>
            <w:vMerge w:val="continue"/>
            <w:tcBorders>
              <w:top w:val="nil"/>
              <w:left w:val="single" w:color="auto" w:sz="8" w:space="0"/>
              <w:bottom w:val="single" w:color="000000" w:sz="8" w:space="0"/>
              <w:right w:val="single" w:color="auto" w:sz="8" w:space="0"/>
            </w:tcBorders>
            <w:shd w:val="clear" w:color="auto" w:fill="auto"/>
            <w:vAlign w:val="center"/>
          </w:tcPr>
          <w:p>
            <w:pPr>
              <w:rPr>
                <w:rFonts w:ascii="Calibri" w:hAnsi="Calibri"/>
                <w:szCs w:val="22"/>
              </w:rPr>
            </w:pPr>
          </w:p>
        </w:tc>
      </w:tr>
      <w:tr>
        <w:tblPrEx>
          <w:tblCellMar>
            <w:top w:w="0" w:type="dxa"/>
            <w:left w:w="108" w:type="dxa"/>
            <w:bottom w:w="0" w:type="dxa"/>
            <w:right w:w="108" w:type="dxa"/>
          </w:tblCellMar>
        </w:tblPrEx>
        <w:trPr>
          <w:trHeight w:val="285" w:hRule="atLeast"/>
        </w:trPr>
        <w:tc>
          <w:tcPr>
            <w:tcW w:w="582" w:type="dxa"/>
            <w:tcBorders>
              <w:top w:val="nil"/>
              <w:left w:val="single" w:color="auto" w:sz="8" w:space="0"/>
              <w:bottom w:val="single" w:color="auto" w:sz="8" w:space="0"/>
              <w:right w:val="single" w:color="auto" w:sz="8" w:space="0"/>
            </w:tcBorders>
            <w:shd w:val="clear" w:color="auto" w:fill="FBD4B4"/>
            <w:vAlign w:val="center"/>
          </w:tcPr>
          <w:p>
            <w:pPr>
              <w:widowControl/>
              <w:jc w:val="center"/>
              <w:rPr>
                <w:b/>
                <w:color w:val="000000"/>
                <w:kern w:val="0"/>
                <w:szCs w:val="21"/>
              </w:rPr>
            </w:pPr>
            <w:r>
              <w:rPr>
                <w:rFonts w:hint="eastAsia" w:cs="宋体"/>
                <w:b/>
                <w:color w:val="000000"/>
                <w:kern w:val="0"/>
                <w:szCs w:val="21"/>
              </w:rPr>
              <w:t>　</w:t>
            </w:r>
          </w:p>
        </w:tc>
        <w:tc>
          <w:tcPr>
            <w:tcW w:w="3404" w:type="dxa"/>
            <w:gridSpan w:val="2"/>
            <w:tcBorders>
              <w:top w:val="single" w:color="auto" w:sz="8" w:space="0"/>
              <w:left w:val="nil"/>
              <w:bottom w:val="single" w:color="auto" w:sz="8" w:space="0"/>
              <w:right w:val="single" w:color="000000" w:sz="8" w:space="0"/>
            </w:tcBorders>
            <w:shd w:val="clear" w:color="auto" w:fill="FBD4B4"/>
          </w:tcPr>
          <w:p>
            <w:pPr>
              <w:widowControl/>
              <w:jc w:val="center"/>
              <w:rPr>
                <w:color w:val="FFFFFF"/>
                <w:kern w:val="0"/>
                <w:szCs w:val="21"/>
              </w:rPr>
            </w:pPr>
            <w:r>
              <w:rPr>
                <w:rFonts w:hint="eastAsia" w:cs="宋体"/>
                <w:color w:val="FFFFFF"/>
                <w:kern w:val="0"/>
                <w:szCs w:val="21"/>
              </w:rPr>
              <w:t>　</w:t>
            </w:r>
          </w:p>
        </w:tc>
        <w:tc>
          <w:tcPr>
            <w:tcW w:w="1135" w:type="dxa"/>
            <w:tcBorders>
              <w:top w:val="nil"/>
              <w:left w:val="nil"/>
              <w:bottom w:val="single" w:color="auto" w:sz="8" w:space="0"/>
              <w:right w:val="single" w:color="auto" w:sz="8" w:space="0"/>
            </w:tcBorders>
            <w:shd w:val="clear" w:color="auto" w:fill="FBD4B4"/>
            <w:vAlign w:val="center"/>
          </w:tcPr>
          <w:p>
            <w:pPr>
              <w:widowControl/>
              <w:jc w:val="center"/>
              <w:rPr>
                <w:color w:val="FFFFFF"/>
                <w:kern w:val="0"/>
                <w:szCs w:val="21"/>
              </w:rPr>
            </w:pPr>
            <w:r>
              <w:rPr>
                <w:rFonts w:hint="eastAsia" w:cs="宋体"/>
                <w:color w:val="FFFFFF"/>
                <w:kern w:val="0"/>
                <w:szCs w:val="21"/>
              </w:rPr>
              <w:t>　</w:t>
            </w:r>
          </w:p>
        </w:tc>
        <w:tc>
          <w:tcPr>
            <w:tcW w:w="1397" w:type="dxa"/>
            <w:tcBorders>
              <w:top w:val="nil"/>
              <w:left w:val="nil"/>
              <w:bottom w:val="single" w:color="auto" w:sz="8" w:space="0"/>
              <w:right w:val="single" w:color="auto" w:sz="8" w:space="0"/>
            </w:tcBorders>
            <w:shd w:val="clear" w:color="auto" w:fill="FBD4B4"/>
            <w:vAlign w:val="center"/>
          </w:tcPr>
          <w:p>
            <w:pPr>
              <w:widowControl/>
              <w:jc w:val="center"/>
              <w:rPr>
                <w:color w:val="FFFFFF"/>
                <w:kern w:val="0"/>
                <w:szCs w:val="21"/>
              </w:rPr>
            </w:pPr>
            <w:r>
              <w:rPr>
                <w:rFonts w:hint="eastAsia" w:cs="宋体"/>
                <w:color w:val="FFFFFF"/>
                <w:kern w:val="0"/>
                <w:szCs w:val="21"/>
              </w:rPr>
              <w:t>　</w:t>
            </w:r>
          </w:p>
        </w:tc>
        <w:tc>
          <w:tcPr>
            <w:tcW w:w="1864" w:type="dxa"/>
            <w:tcBorders>
              <w:top w:val="nil"/>
              <w:left w:val="nil"/>
              <w:bottom w:val="single" w:color="auto" w:sz="8" w:space="0"/>
              <w:right w:val="single" w:color="auto" w:sz="8" w:space="0"/>
            </w:tcBorders>
            <w:shd w:val="clear" w:color="auto" w:fill="FBD4B4"/>
            <w:vAlign w:val="center"/>
          </w:tcPr>
          <w:p>
            <w:pPr>
              <w:widowControl/>
              <w:jc w:val="center"/>
              <w:rPr>
                <w:color w:val="FFFFFF"/>
                <w:kern w:val="0"/>
                <w:szCs w:val="21"/>
              </w:rPr>
            </w:pPr>
            <w:r>
              <w:rPr>
                <w:rFonts w:hint="eastAsia" w:cs="宋体"/>
                <w:color w:val="FFFFFF"/>
                <w:kern w:val="0"/>
                <w:szCs w:val="21"/>
              </w:rPr>
              <w:t>　</w:t>
            </w:r>
          </w:p>
        </w:tc>
        <w:tc>
          <w:tcPr>
            <w:tcW w:w="1135" w:type="dxa"/>
            <w:tcBorders>
              <w:top w:val="nil"/>
              <w:left w:val="nil"/>
              <w:bottom w:val="single" w:color="auto" w:sz="8" w:space="0"/>
              <w:right w:val="single" w:color="auto" w:sz="8" w:space="0"/>
            </w:tcBorders>
            <w:shd w:val="clear" w:color="auto" w:fill="FBD4B4"/>
            <w:vAlign w:val="center"/>
          </w:tcPr>
          <w:p>
            <w:pPr>
              <w:widowControl/>
              <w:jc w:val="center"/>
              <w:rPr>
                <w:color w:val="FFFFFF"/>
                <w:kern w:val="0"/>
                <w:szCs w:val="21"/>
              </w:rPr>
            </w:pPr>
            <w:r>
              <w:rPr>
                <w:rFonts w:hint="eastAsia" w:cs="宋体"/>
                <w:color w:val="FFFFFF"/>
                <w:kern w:val="0"/>
                <w:szCs w:val="21"/>
              </w:rPr>
              <w:t>　</w:t>
            </w:r>
          </w:p>
        </w:tc>
      </w:tr>
      <w:tr>
        <w:tblPrEx>
          <w:tblCellMar>
            <w:top w:w="0" w:type="dxa"/>
            <w:left w:w="108" w:type="dxa"/>
            <w:bottom w:w="0" w:type="dxa"/>
            <w:right w:w="108" w:type="dxa"/>
          </w:tblCellMar>
        </w:tblPrEx>
        <w:trPr>
          <w:trHeight w:val="735" w:hRule="atLeast"/>
        </w:trPr>
        <w:tc>
          <w:tcPr>
            <w:tcW w:w="582" w:type="dxa"/>
            <w:vMerge w:val="restart"/>
            <w:tcBorders>
              <w:top w:val="nil"/>
              <w:left w:val="single" w:color="auto" w:sz="8" w:space="0"/>
              <w:bottom w:val="single" w:color="000000" w:sz="8" w:space="0"/>
              <w:right w:val="single" w:color="auto" w:sz="8" w:space="0"/>
            </w:tcBorders>
            <w:shd w:val="clear" w:color="auto" w:fill="FBD4B4"/>
            <w:vAlign w:val="center"/>
          </w:tcPr>
          <w:p>
            <w:pPr>
              <w:widowControl/>
              <w:jc w:val="center"/>
              <w:rPr>
                <w:rFonts w:ascii="宋体" w:hAnsi="宋体" w:cs="宋体"/>
                <w:b/>
                <w:color w:val="000000"/>
                <w:kern w:val="0"/>
                <w:sz w:val="24"/>
              </w:rPr>
            </w:pPr>
            <w:r>
              <w:rPr>
                <w:rFonts w:hint="eastAsia" w:ascii="宋体" w:hAnsi="宋体" w:cs="宋体"/>
                <w:b/>
                <w:color w:val="000000"/>
                <w:kern w:val="0"/>
                <w:sz w:val="24"/>
              </w:rPr>
              <w:t>实</w:t>
            </w:r>
            <w:r>
              <w:rPr>
                <w:rFonts w:hint="eastAsia" w:ascii="宋体" w:hAnsi="宋体" w:cs="宋体"/>
                <w:b/>
                <w:color w:val="000000"/>
                <w:kern w:val="0"/>
                <w:sz w:val="24"/>
              </w:rPr>
              <w:br w:type="textWrapping"/>
            </w:r>
            <w:r>
              <w:rPr>
                <w:rFonts w:hint="eastAsia" w:ascii="宋体" w:hAnsi="宋体" w:cs="宋体"/>
                <w:b/>
                <w:color w:val="000000"/>
                <w:kern w:val="0"/>
                <w:sz w:val="24"/>
              </w:rPr>
              <w:t>践</w:t>
            </w:r>
            <w:r>
              <w:rPr>
                <w:rFonts w:hint="eastAsia" w:ascii="宋体" w:hAnsi="宋体" w:cs="宋体"/>
                <w:b/>
                <w:color w:val="000000"/>
                <w:kern w:val="0"/>
                <w:sz w:val="24"/>
              </w:rPr>
              <w:br w:type="textWrapping"/>
            </w:r>
            <w:r>
              <w:rPr>
                <w:rFonts w:hint="eastAsia" w:ascii="宋体" w:hAnsi="宋体" w:cs="宋体"/>
                <w:b/>
                <w:color w:val="000000"/>
                <w:kern w:val="0"/>
                <w:sz w:val="24"/>
              </w:rPr>
              <w:t xml:space="preserve">赛 </w:t>
            </w:r>
          </w:p>
        </w:tc>
        <w:tc>
          <w:tcPr>
            <w:tcW w:w="1080" w:type="dxa"/>
            <w:vMerge w:val="restart"/>
            <w:tcBorders>
              <w:top w:val="nil"/>
              <w:left w:val="single" w:color="auto" w:sz="8" w:space="0"/>
              <w:bottom w:val="single" w:color="000000" w:sz="8" w:space="0"/>
              <w:right w:val="single" w:color="auto" w:sz="8" w:space="0"/>
            </w:tcBorders>
            <w:shd w:val="clear" w:color="auto" w:fill="auto"/>
            <w:vAlign w:val="center"/>
          </w:tcPr>
          <w:p>
            <w:pPr>
              <w:widowControl/>
              <w:jc w:val="center"/>
              <w:rPr>
                <w:rFonts w:ascii="宋体" w:hAnsi="宋体" w:cs="宋体"/>
                <w:b/>
                <w:color w:val="000000"/>
                <w:kern w:val="0"/>
                <w:szCs w:val="21"/>
              </w:rPr>
            </w:pPr>
            <w:r>
              <w:rPr>
                <w:rFonts w:hint="eastAsia" w:ascii="宋体" w:hAnsi="宋体" w:cs="宋体"/>
                <w:b/>
                <w:color w:val="000000"/>
                <w:kern w:val="0"/>
                <w:szCs w:val="21"/>
              </w:rPr>
              <w:t>本科组</w:t>
            </w:r>
          </w:p>
        </w:tc>
        <w:tc>
          <w:tcPr>
            <w:tcW w:w="2322" w:type="dxa"/>
            <w:vMerge w:val="restart"/>
            <w:tcBorders>
              <w:top w:val="nil"/>
              <w:left w:val="single" w:color="auto" w:sz="8" w:space="0"/>
              <w:bottom w:val="single" w:color="000000" w:sz="8" w:space="0"/>
              <w:right w:val="single" w:color="auto" w:sz="8"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省 赛</w:t>
            </w:r>
          </w:p>
        </w:tc>
        <w:tc>
          <w:tcPr>
            <w:tcW w:w="1135" w:type="dxa"/>
            <w:vMerge w:val="restart"/>
            <w:tcBorders>
              <w:top w:val="nil"/>
              <w:left w:val="nil"/>
              <w:bottom w:val="single" w:color="000000" w:sz="8" w:space="0"/>
              <w:right w:val="single" w:color="auto" w:sz="8"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团体赛</w:t>
            </w:r>
            <w:r>
              <w:rPr>
                <w:rFonts w:hint="eastAsia" w:ascii="宋体" w:hAnsi="宋体" w:cs="宋体"/>
                <w:color w:val="000000"/>
                <w:kern w:val="0"/>
                <w:szCs w:val="21"/>
              </w:rPr>
              <w:br w:type="textWrapping"/>
            </w:r>
            <w:r>
              <w:rPr>
                <w:rFonts w:hint="eastAsia" w:ascii="宋体" w:hAnsi="宋体" w:cs="宋体"/>
                <w:color w:val="000000"/>
                <w:kern w:val="0"/>
                <w:szCs w:val="21"/>
              </w:rPr>
              <w:t>（3-5人）</w:t>
            </w:r>
          </w:p>
        </w:tc>
        <w:tc>
          <w:tcPr>
            <w:tcW w:w="1397" w:type="dxa"/>
            <w:vMerge w:val="restart"/>
            <w:tcBorders>
              <w:top w:val="nil"/>
              <w:left w:val="single" w:color="auto" w:sz="8" w:space="0"/>
              <w:bottom w:val="single" w:color="000000" w:sz="8" w:space="0"/>
              <w:right w:val="single" w:color="auto" w:sz="8"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调研报告评审、</w:t>
            </w:r>
            <w:r>
              <w:rPr>
                <w:color w:val="000000"/>
                <w:kern w:val="0"/>
                <w:szCs w:val="21"/>
              </w:rPr>
              <w:t>PPT</w:t>
            </w:r>
            <w:r>
              <w:rPr>
                <w:rFonts w:hint="eastAsia" w:ascii="宋体" w:hAnsi="宋体" w:cs="宋体"/>
                <w:color w:val="000000"/>
                <w:kern w:val="0"/>
                <w:szCs w:val="21"/>
              </w:rPr>
              <w:t>陈述、答辩</w:t>
            </w:r>
          </w:p>
        </w:tc>
        <w:tc>
          <w:tcPr>
            <w:tcW w:w="1864" w:type="dxa"/>
            <w:vMerge w:val="restart"/>
            <w:tcBorders>
              <w:top w:val="nil"/>
              <w:left w:val="single" w:color="auto" w:sz="8" w:space="0"/>
              <w:bottom w:val="single" w:color="000000" w:sz="8" w:space="0"/>
              <w:right w:val="single" w:color="auto" w:sz="8" w:space="0"/>
            </w:tcBorders>
            <w:shd w:val="clear" w:color="auto" w:fill="auto"/>
            <w:vAlign w:val="center"/>
          </w:tcPr>
          <w:p>
            <w:pPr>
              <w:widowControl/>
              <w:jc w:val="center"/>
              <w:rPr>
                <w:color w:val="000000"/>
                <w:kern w:val="0"/>
                <w:szCs w:val="21"/>
              </w:rPr>
            </w:pPr>
            <w:r>
              <w:rPr>
                <w:color w:val="000000"/>
                <w:kern w:val="0"/>
                <w:szCs w:val="21"/>
              </w:rPr>
              <w:t>2021.4.30</w:t>
            </w:r>
            <w:r>
              <w:rPr>
                <w:rFonts w:hint="eastAsia" w:ascii="宋体" w:hAnsi="宋体" w:cs="宋体"/>
                <w:color w:val="000000"/>
                <w:kern w:val="0"/>
                <w:szCs w:val="21"/>
              </w:rPr>
              <w:t>日前</w:t>
            </w:r>
          </w:p>
        </w:tc>
        <w:tc>
          <w:tcPr>
            <w:tcW w:w="1135" w:type="dxa"/>
            <w:vMerge w:val="restart"/>
            <w:tcBorders>
              <w:top w:val="nil"/>
              <w:left w:val="single" w:color="auto" w:sz="8" w:space="0"/>
              <w:bottom w:val="single" w:color="000000" w:sz="8" w:space="0"/>
              <w:right w:val="single" w:color="auto" w:sz="8"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分赛区</w:t>
            </w:r>
          </w:p>
        </w:tc>
      </w:tr>
      <w:tr>
        <w:tblPrEx>
          <w:tblCellMar>
            <w:top w:w="0" w:type="dxa"/>
            <w:left w:w="108" w:type="dxa"/>
            <w:bottom w:w="0" w:type="dxa"/>
            <w:right w:w="108" w:type="dxa"/>
          </w:tblCellMar>
        </w:tblPrEx>
        <w:trPr>
          <w:trHeight w:val="312" w:hRule="atLeast"/>
        </w:trPr>
        <w:tc>
          <w:tcPr>
            <w:tcW w:w="582" w:type="dxa"/>
            <w:vMerge w:val="continue"/>
            <w:tcBorders>
              <w:top w:val="nil"/>
              <w:left w:val="single" w:color="auto" w:sz="8" w:space="0"/>
              <w:bottom w:val="single" w:color="000000" w:sz="8" w:space="0"/>
              <w:right w:val="single" w:color="auto" w:sz="8" w:space="0"/>
            </w:tcBorders>
            <w:shd w:val="clear" w:color="auto" w:fill="FBD4B4"/>
            <w:vAlign w:val="center"/>
          </w:tcPr>
          <w:p>
            <w:pPr>
              <w:rPr>
                <w:rFonts w:ascii="Calibri" w:hAnsi="Calibri"/>
                <w:szCs w:val="22"/>
              </w:rPr>
            </w:pPr>
          </w:p>
        </w:tc>
        <w:tc>
          <w:tcPr>
            <w:tcW w:w="1080" w:type="dxa"/>
            <w:vMerge w:val="continue"/>
            <w:tcBorders>
              <w:top w:val="nil"/>
              <w:left w:val="single" w:color="auto" w:sz="8" w:space="0"/>
              <w:bottom w:val="single" w:color="000000" w:sz="8" w:space="0"/>
              <w:right w:val="single" w:color="auto" w:sz="8" w:space="0"/>
            </w:tcBorders>
            <w:shd w:val="clear" w:color="auto" w:fill="auto"/>
            <w:vAlign w:val="center"/>
          </w:tcPr>
          <w:p>
            <w:pPr>
              <w:rPr>
                <w:rFonts w:ascii="Calibri" w:hAnsi="Calibri"/>
                <w:szCs w:val="22"/>
              </w:rPr>
            </w:pPr>
          </w:p>
        </w:tc>
        <w:tc>
          <w:tcPr>
            <w:tcW w:w="2322" w:type="dxa"/>
            <w:vMerge w:val="continue"/>
            <w:tcBorders>
              <w:top w:val="nil"/>
              <w:left w:val="single" w:color="auto" w:sz="8" w:space="0"/>
              <w:bottom w:val="single" w:color="000000" w:sz="8" w:space="0"/>
              <w:right w:val="single" w:color="auto" w:sz="8" w:space="0"/>
            </w:tcBorders>
            <w:shd w:val="clear" w:color="auto" w:fill="auto"/>
            <w:vAlign w:val="center"/>
          </w:tcPr>
          <w:p>
            <w:pPr>
              <w:rPr>
                <w:rFonts w:ascii="Calibri" w:hAnsi="Calibri"/>
                <w:szCs w:val="22"/>
              </w:rPr>
            </w:pPr>
          </w:p>
        </w:tc>
        <w:tc>
          <w:tcPr>
            <w:tcW w:w="1135" w:type="dxa"/>
            <w:vMerge w:val="continue"/>
            <w:tcBorders>
              <w:top w:val="nil"/>
              <w:left w:val="nil"/>
              <w:bottom w:val="single" w:color="000000" w:sz="8" w:space="0"/>
              <w:right w:val="single" w:color="auto" w:sz="8" w:space="0"/>
            </w:tcBorders>
            <w:shd w:val="clear" w:color="auto" w:fill="auto"/>
            <w:vAlign w:val="center"/>
          </w:tcPr>
          <w:p>
            <w:pPr>
              <w:rPr>
                <w:rFonts w:ascii="Calibri" w:hAnsi="Calibri"/>
                <w:szCs w:val="22"/>
              </w:rPr>
            </w:pPr>
          </w:p>
        </w:tc>
        <w:tc>
          <w:tcPr>
            <w:tcW w:w="1397" w:type="dxa"/>
            <w:vMerge w:val="continue"/>
            <w:tcBorders>
              <w:top w:val="nil"/>
              <w:left w:val="single" w:color="auto" w:sz="8" w:space="0"/>
              <w:bottom w:val="single" w:color="000000" w:sz="8" w:space="0"/>
              <w:right w:val="single" w:color="auto" w:sz="8" w:space="0"/>
            </w:tcBorders>
            <w:shd w:val="clear" w:color="auto" w:fill="auto"/>
            <w:vAlign w:val="center"/>
          </w:tcPr>
          <w:p>
            <w:pPr>
              <w:rPr>
                <w:rFonts w:ascii="Calibri" w:hAnsi="Calibri"/>
                <w:szCs w:val="22"/>
              </w:rPr>
            </w:pPr>
          </w:p>
        </w:tc>
        <w:tc>
          <w:tcPr>
            <w:tcW w:w="1864" w:type="dxa"/>
            <w:vMerge w:val="continue"/>
            <w:tcBorders>
              <w:top w:val="nil"/>
              <w:left w:val="single" w:color="auto" w:sz="8" w:space="0"/>
              <w:bottom w:val="single" w:color="000000" w:sz="8" w:space="0"/>
              <w:right w:val="single" w:color="auto" w:sz="8" w:space="0"/>
            </w:tcBorders>
            <w:shd w:val="clear" w:color="auto" w:fill="auto"/>
            <w:vAlign w:val="center"/>
          </w:tcPr>
          <w:p>
            <w:pPr>
              <w:rPr>
                <w:rFonts w:ascii="Calibri" w:hAnsi="Calibri"/>
                <w:szCs w:val="22"/>
              </w:rPr>
            </w:pPr>
          </w:p>
        </w:tc>
        <w:tc>
          <w:tcPr>
            <w:tcW w:w="1135" w:type="dxa"/>
            <w:vMerge w:val="continue"/>
            <w:tcBorders>
              <w:top w:val="nil"/>
              <w:left w:val="single" w:color="auto" w:sz="8" w:space="0"/>
              <w:bottom w:val="single" w:color="000000" w:sz="8" w:space="0"/>
              <w:right w:val="single" w:color="auto" w:sz="8" w:space="0"/>
            </w:tcBorders>
            <w:shd w:val="clear" w:color="auto" w:fill="auto"/>
            <w:vAlign w:val="center"/>
          </w:tcPr>
          <w:p>
            <w:pPr>
              <w:rPr>
                <w:rFonts w:ascii="Calibri" w:hAnsi="Calibri"/>
                <w:szCs w:val="22"/>
              </w:rPr>
            </w:pPr>
          </w:p>
        </w:tc>
      </w:tr>
      <w:tr>
        <w:tblPrEx>
          <w:tblCellMar>
            <w:top w:w="0" w:type="dxa"/>
            <w:left w:w="108" w:type="dxa"/>
            <w:bottom w:w="0" w:type="dxa"/>
            <w:right w:w="108" w:type="dxa"/>
          </w:tblCellMar>
        </w:tblPrEx>
        <w:trPr>
          <w:trHeight w:val="285" w:hRule="atLeast"/>
        </w:trPr>
        <w:tc>
          <w:tcPr>
            <w:tcW w:w="582" w:type="dxa"/>
            <w:vMerge w:val="continue"/>
            <w:tcBorders>
              <w:top w:val="nil"/>
              <w:left w:val="single" w:color="auto" w:sz="8" w:space="0"/>
              <w:bottom w:val="single" w:color="000000" w:sz="8" w:space="0"/>
              <w:right w:val="single" w:color="auto" w:sz="8" w:space="0"/>
            </w:tcBorders>
            <w:shd w:val="clear" w:color="auto" w:fill="FBD4B4"/>
            <w:vAlign w:val="center"/>
          </w:tcPr>
          <w:p>
            <w:pPr>
              <w:rPr>
                <w:rFonts w:ascii="Calibri" w:hAnsi="Calibri"/>
                <w:szCs w:val="22"/>
              </w:rPr>
            </w:pPr>
          </w:p>
        </w:tc>
        <w:tc>
          <w:tcPr>
            <w:tcW w:w="1080" w:type="dxa"/>
            <w:vMerge w:val="continue"/>
            <w:tcBorders>
              <w:top w:val="nil"/>
              <w:left w:val="single" w:color="auto" w:sz="8" w:space="0"/>
              <w:bottom w:val="single" w:color="000000" w:sz="8" w:space="0"/>
              <w:right w:val="single" w:color="auto" w:sz="8" w:space="0"/>
            </w:tcBorders>
            <w:shd w:val="clear" w:color="auto" w:fill="auto"/>
            <w:vAlign w:val="center"/>
          </w:tcPr>
          <w:p>
            <w:pPr>
              <w:rPr>
                <w:rFonts w:ascii="Calibri" w:hAnsi="Calibri"/>
                <w:szCs w:val="22"/>
              </w:rPr>
            </w:pPr>
          </w:p>
        </w:tc>
        <w:tc>
          <w:tcPr>
            <w:tcW w:w="2322" w:type="dxa"/>
            <w:tcBorders>
              <w:top w:val="nil"/>
              <w:left w:val="nil"/>
              <w:bottom w:val="nil"/>
              <w:right w:val="single" w:color="auto" w:sz="8" w:space="0"/>
            </w:tcBorders>
            <w:shd w:val="clear" w:color="auto" w:fill="FBD4B4"/>
            <w:vAlign w:val="center"/>
          </w:tcPr>
          <w:p>
            <w:pPr>
              <w:widowControl/>
              <w:jc w:val="center"/>
              <w:rPr>
                <w:color w:val="FFFFFF"/>
                <w:kern w:val="0"/>
                <w:szCs w:val="21"/>
              </w:rPr>
            </w:pPr>
            <w:r>
              <w:rPr>
                <w:rFonts w:hint="eastAsia" w:cs="宋体"/>
                <w:color w:val="FFFFFF"/>
                <w:kern w:val="0"/>
                <w:szCs w:val="21"/>
              </w:rPr>
              <w:t>　</w:t>
            </w:r>
          </w:p>
        </w:tc>
        <w:tc>
          <w:tcPr>
            <w:tcW w:w="1135" w:type="dxa"/>
            <w:tcBorders>
              <w:top w:val="nil"/>
              <w:left w:val="nil"/>
              <w:bottom w:val="nil"/>
              <w:right w:val="single" w:color="auto" w:sz="8" w:space="0"/>
            </w:tcBorders>
            <w:shd w:val="clear" w:color="auto" w:fill="FBD4B4"/>
            <w:vAlign w:val="center"/>
          </w:tcPr>
          <w:p>
            <w:pPr>
              <w:widowControl/>
              <w:jc w:val="center"/>
              <w:rPr>
                <w:color w:val="FFFFFF"/>
                <w:kern w:val="0"/>
                <w:szCs w:val="21"/>
              </w:rPr>
            </w:pPr>
            <w:r>
              <w:rPr>
                <w:rFonts w:hint="eastAsia" w:cs="宋体"/>
                <w:color w:val="FFFFFF"/>
                <w:kern w:val="0"/>
                <w:szCs w:val="21"/>
              </w:rPr>
              <w:t>　</w:t>
            </w:r>
          </w:p>
        </w:tc>
        <w:tc>
          <w:tcPr>
            <w:tcW w:w="1397" w:type="dxa"/>
            <w:tcBorders>
              <w:top w:val="nil"/>
              <w:left w:val="nil"/>
              <w:bottom w:val="nil"/>
              <w:right w:val="single" w:color="auto" w:sz="8" w:space="0"/>
            </w:tcBorders>
            <w:shd w:val="clear" w:color="auto" w:fill="FBD4B4"/>
            <w:vAlign w:val="center"/>
          </w:tcPr>
          <w:p>
            <w:pPr>
              <w:widowControl/>
              <w:jc w:val="center"/>
              <w:rPr>
                <w:color w:val="FFFFFF"/>
                <w:kern w:val="0"/>
                <w:szCs w:val="21"/>
              </w:rPr>
            </w:pPr>
            <w:r>
              <w:rPr>
                <w:rFonts w:hint="eastAsia" w:cs="宋体"/>
                <w:color w:val="FFFFFF"/>
                <w:kern w:val="0"/>
                <w:szCs w:val="21"/>
              </w:rPr>
              <w:t>　</w:t>
            </w:r>
          </w:p>
        </w:tc>
        <w:tc>
          <w:tcPr>
            <w:tcW w:w="1864" w:type="dxa"/>
            <w:tcBorders>
              <w:top w:val="nil"/>
              <w:left w:val="nil"/>
              <w:bottom w:val="nil"/>
              <w:right w:val="single" w:color="auto" w:sz="8" w:space="0"/>
            </w:tcBorders>
            <w:shd w:val="clear" w:color="auto" w:fill="FBD4B4"/>
            <w:vAlign w:val="center"/>
          </w:tcPr>
          <w:p>
            <w:pPr>
              <w:widowControl/>
              <w:jc w:val="center"/>
              <w:rPr>
                <w:color w:val="FFFFFF"/>
                <w:kern w:val="0"/>
                <w:szCs w:val="21"/>
              </w:rPr>
            </w:pPr>
            <w:r>
              <w:rPr>
                <w:rFonts w:hint="eastAsia" w:cs="宋体"/>
                <w:color w:val="FFFFFF"/>
                <w:kern w:val="0"/>
                <w:szCs w:val="21"/>
              </w:rPr>
              <w:t>　</w:t>
            </w:r>
          </w:p>
        </w:tc>
        <w:tc>
          <w:tcPr>
            <w:tcW w:w="1135" w:type="dxa"/>
            <w:tcBorders>
              <w:top w:val="nil"/>
              <w:left w:val="nil"/>
              <w:bottom w:val="single" w:color="auto" w:sz="8" w:space="0"/>
              <w:right w:val="single" w:color="auto" w:sz="8" w:space="0"/>
            </w:tcBorders>
            <w:shd w:val="clear" w:color="auto" w:fill="FBD4B4"/>
            <w:vAlign w:val="center"/>
          </w:tcPr>
          <w:p>
            <w:pPr>
              <w:widowControl/>
              <w:jc w:val="center"/>
              <w:rPr>
                <w:color w:val="FFFFFF"/>
                <w:kern w:val="0"/>
                <w:szCs w:val="21"/>
              </w:rPr>
            </w:pPr>
            <w:r>
              <w:rPr>
                <w:rFonts w:hint="eastAsia" w:cs="宋体"/>
                <w:color w:val="FFFFFF"/>
                <w:kern w:val="0"/>
                <w:szCs w:val="21"/>
              </w:rPr>
              <w:t>　</w:t>
            </w:r>
          </w:p>
        </w:tc>
      </w:tr>
      <w:tr>
        <w:tblPrEx>
          <w:tblCellMar>
            <w:top w:w="0" w:type="dxa"/>
            <w:left w:w="108" w:type="dxa"/>
            <w:bottom w:w="0" w:type="dxa"/>
            <w:right w:w="108" w:type="dxa"/>
          </w:tblCellMar>
        </w:tblPrEx>
        <w:trPr>
          <w:trHeight w:val="1095" w:hRule="atLeast"/>
        </w:trPr>
        <w:tc>
          <w:tcPr>
            <w:tcW w:w="582" w:type="dxa"/>
            <w:vMerge w:val="continue"/>
            <w:tcBorders>
              <w:top w:val="nil"/>
              <w:left w:val="single" w:color="auto" w:sz="8" w:space="0"/>
              <w:bottom w:val="single" w:color="000000" w:sz="8" w:space="0"/>
              <w:right w:val="single" w:color="auto" w:sz="8" w:space="0"/>
            </w:tcBorders>
            <w:shd w:val="clear" w:color="auto" w:fill="FBD4B4"/>
            <w:vAlign w:val="center"/>
          </w:tcPr>
          <w:p>
            <w:pPr>
              <w:rPr>
                <w:rFonts w:ascii="Calibri" w:hAnsi="Calibri"/>
                <w:szCs w:val="22"/>
              </w:rPr>
            </w:pPr>
          </w:p>
        </w:tc>
        <w:tc>
          <w:tcPr>
            <w:tcW w:w="1080" w:type="dxa"/>
            <w:vMerge w:val="continue"/>
            <w:tcBorders>
              <w:top w:val="nil"/>
              <w:left w:val="single" w:color="auto" w:sz="8" w:space="0"/>
              <w:bottom w:val="single" w:color="000000" w:sz="8" w:space="0"/>
              <w:right w:val="single" w:color="auto" w:sz="8" w:space="0"/>
            </w:tcBorders>
            <w:shd w:val="clear" w:color="auto" w:fill="auto"/>
            <w:vAlign w:val="center"/>
          </w:tcPr>
          <w:p>
            <w:pPr>
              <w:rPr>
                <w:rFonts w:ascii="Calibri" w:hAnsi="Calibri"/>
                <w:szCs w:val="22"/>
              </w:rPr>
            </w:pPr>
          </w:p>
        </w:tc>
        <w:tc>
          <w:tcPr>
            <w:tcW w:w="2322" w:type="dxa"/>
            <w:tcBorders>
              <w:top w:val="single" w:color="auto" w:sz="8" w:space="0"/>
              <w:left w:val="nil"/>
              <w:bottom w:val="single" w:color="auto" w:sz="8" w:space="0"/>
              <w:right w:val="single" w:color="auto" w:sz="8"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第11届全国赛 （第10届两岸赛大陆地区选拔赛）</w:t>
            </w:r>
          </w:p>
        </w:tc>
        <w:tc>
          <w:tcPr>
            <w:tcW w:w="1135" w:type="dxa"/>
            <w:tcBorders>
              <w:top w:val="single" w:color="auto" w:sz="8" w:space="0"/>
              <w:left w:val="nil"/>
              <w:bottom w:val="single" w:color="auto" w:sz="8" w:space="0"/>
              <w:right w:val="single" w:color="auto" w:sz="8"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团体赛（</w:t>
            </w:r>
            <w:r>
              <w:rPr>
                <w:color w:val="000000"/>
                <w:kern w:val="0"/>
                <w:szCs w:val="21"/>
              </w:rPr>
              <w:t>3-5</w:t>
            </w:r>
            <w:r>
              <w:rPr>
                <w:rFonts w:hint="eastAsia" w:ascii="宋体" w:hAnsi="宋体" w:cs="宋体"/>
                <w:color w:val="000000"/>
                <w:kern w:val="0"/>
                <w:szCs w:val="21"/>
              </w:rPr>
              <w:t>人）</w:t>
            </w:r>
          </w:p>
        </w:tc>
        <w:tc>
          <w:tcPr>
            <w:tcW w:w="1397" w:type="dxa"/>
            <w:tcBorders>
              <w:top w:val="single" w:color="auto" w:sz="8" w:space="0"/>
              <w:left w:val="nil"/>
              <w:bottom w:val="single" w:color="auto" w:sz="8" w:space="0"/>
              <w:right w:val="single" w:color="auto" w:sz="8"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调研报告评审、</w:t>
            </w:r>
            <w:r>
              <w:rPr>
                <w:color w:val="000000"/>
                <w:kern w:val="0"/>
                <w:szCs w:val="21"/>
              </w:rPr>
              <w:t>PPT</w:t>
            </w:r>
            <w:r>
              <w:rPr>
                <w:rFonts w:hint="eastAsia" w:ascii="宋体" w:hAnsi="宋体" w:cs="宋体"/>
                <w:color w:val="000000"/>
                <w:kern w:val="0"/>
                <w:szCs w:val="21"/>
              </w:rPr>
              <w:t>陈述、答辩</w:t>
            </w:r>
          </w:p>
        </w:tc>
        <w:tc>
          <w:tcPr>
            <w:tcW w:w="1864" w:type="dxa"/>
            <w:tcBorders>
              <w:top w:val="single" w:color="auto" w:sz="8" w:space="0"/>
              <w:left w:val="nil"/>
              <w:bottom w:val="single" w:color="auto" w:sz="8" w:space="0"/>
              <w:right w:val="single" w:color="auto" w:sz="8" w:space="0"/>
            </w:tcBorders>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2021.5.29-5.30</w:t>
            </w:r>
          </w:p>
        </w:tc>
        <w:tc>
          <w:tcPr>
            <w:tcW w:w="1135" w:type="dxa"/>
            <w:tcBorders>
              <w:top w:val="nil"/>
              <w:left w:val="single" w:color="auto" w:sz="4" w:space="0"/>
              <w:bottom w:val="single" w:color="auto" w:sz="8" w:space="0"/>
              <w:right w:val="single" w:color="auto" w:sz="8"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河南大学</w:t>
            </w:r>
            <w:r>
              <w:rPr>
                <w:rFonts w:hint="eastAsia" w:ascii="宋体" w:hAnsi="宋体" w:cs="宋体"/>
                <w:color w:val="000000"/>
                <w:kern w:val="0"/>
                <w:szCs w:val="21"/>
              </w:rPr>
              <w:br w:type="textWrapping"/>
            </w:r>
            <w:r>
              <w:rPr>
                <w:rFonts w:hint="eastAsia" w:ascii="宋体" w:hAnsi="宋体" w:cs="宋体"/>
                <w:color w:val="000000"/>
                <w:kern w:val="0"/>
                <w:szCs w:val="21"/>
              </w:rPr>
              <w:t>（开封）</w:t>
            </w:r>
          </w:p>
        </w:tc>
      </w:tr>
      <w:tr>
        <w:tblPrEx>
          <w:tblCellMar>
            <w:top w:w="0" w:type="dxa"/>
            <w:left w:w="108" w:type="dxa"/>
            <w:bottom w:w="0" w:type="dxa"/>
            <w:right w:w="108" w:type="dxa"/>
          </w:tblCellMar>
        </w:tblPrEx>
        <w:trPr>
          <w:trHeight w:val="840" w:hRule="atLeast"/>
        </w:trPr>
        <w:tc>
          <w:tcPr>
            <w:tcW w:w="582" w:type="dxa"/>
            <w:vMerge w:val="continue"/>
            <w:tcBorders>
              <w:top w:val="nil"/>
              <w:left w:val="single" w:color="auto" w:sz="8" w:space="0"/>
              <w:bottom w:val="single" w:color="000000" w:sz="8" w:space="0"/>
              <w:right w:val="single" w:color="auto" w:sz="8" w:space="0"/>
            </w:tcBorders>
            <w:shd w:val="clear" w:color="auto" w:fill="FBD4B4"/>
            <w:vAlign w:val="center"/>
          </w:tcPr>
          <w:p>
            <w:pPr>
              <w:rPr>
                <w:rFonts w:ascii="Calibri" w:hAnsi="Calibri"/>
                <w:szCs w:val="22"/>
              </w:rPr>
            </w:pPr>
          </w:p>
        </w:tc>
        <w:tc>
          <w:tcPr>
            <w:tcW w:w="1080" w:type="dxa"/>
            <w:tcBorders>
              <w:top w:val="nil"/>
              <w:left w:val="nil"/>
              <w:bottom w:val="single" w:color="auto" w:sz="8" w:space="0"/>
              <w:right w:val="single" w:color="auto" w:sz="8" w:space="0"/>
            </w:tcBorders>
            <w:shd w:val="clear" w:color="auto" w:fill="auto"/>
            <w:vAlign w:val="center"/>
          </w:tcPr>
          <w:p>
            <w:pPr>
              <w:widowControl/>
              <w:jc w:val="center"/>
              <w:rPr>
                <w:rFonts w:ascii="宋体" w:hAnsi="宋体" w:cs="宋体"/>
                <w:b/>
                <w:color w:val="000000"/>
                <w:kern w:val="0"/>
                <w:szCs w:val="21"/>
              </w:rPr>
            </w:pPr>
            <w:r>
              <w:rPr>
                <w:rFonts w:hint="eastAsia" w:ascii="宋体" w:hAnsi="宋体" w:cs="宋体"/>
                <w:b/>
                <w:color w:val="000000"/>
                <w:kern w:val="0"/>
                <w:szCs w:val="21"/>
              </w:rPr>
              <w:t>专科组</w:t>
            </w:r>
          </w:p>
        </w:tc>
        <w:tc>
          <w:tcPr>
            <w:tcW w:w="2322" w:type="dxa"/>
            <w:tcBorders>
              <w:top w:val="nil"/>
              <w:left w:val="nil"/>
              <w:bottom w:val="single" w:color="auto" w:sz="8" w:space="0"/>
              <w:right w:val="single" w:color="auto" w:sz="8"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第11届全国赛（第10届两岸赛大陆地区选拔赛）</w:t>
            </w:r>
          </w:p>
        </w:tc>
        <w:tc>
          <w:tcPr>
            <w:tcW w:w="1135" w:type="dxa"/>
            <w:tcBorders>
              <w:top w:val="nil"/>
              <w:left w:val="nil"/>
              <w:bottom w:val="single" w:color="auto" w:sz="8" w:space="0"/>
              <w:right w:val="single" w:color="auto" w:sz="8"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团体赛（</w:t>
            </w:r>
            <w:r>
              <w:rPr>
                <w:color w:val="000000"/>
                <w:kern w:val="0"/>
                <w:szCs w:val="21"/>
              </w:rPr>
              <w:t>3-5</w:t>
            </w:r>
            <w:r>
              <w:rPr>
                <w:rFonts w:hint="eastAsia" w:ascii="宋体" w:hAnsi="宋体" w:cs="宋体"/>
                <w:color w:val="000000"/>
                <w:kern w:val="0"/>
                <w:szCs w:val="21"/>
              </w:rPr>
              <w:t>人）</w:t>
            </w:r>
          </w:p>
        </w:tc>
        <w:tc>
          <w:tcPr>
            <w:tcW w:w="1397" w:type="dxa"/>
            <w:tcBorders>
              <w:top w:val="nil"/>
              <w:left w:val="nil"/>
              <w:bottom w:val="single" w:color="auto" w:sz="8" w:space="0"/>
              <w:right w:val="single" w:color="auto" w:sz="8"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调研报告评审、</w:t>
            </w:r>
            <w:r>
              <w:rPr>
                <w:color w:val="000000"/>
                <w:kern w:val="0"/>
                <w:szCs w:val="21"/>
              </w:rPr>
              <w:t>PPT</w:t>
            </w:r>
            <w:r>
              <w:rPr>
                <w:rFonts w:hint="eastAsia" w:ascii="宋体" w:hAnsi="宋体" w:cs="宋体"/>
                <w:color w:val="000000"/>
                <w:kern w:val="0"/>
                <w:szCs w:val="21"/>
              </w:rPr>
              <w:t>陈述、答辩</w:t>
            </w:r>
          </w:p>
        </w:tc>
        <w:tc>
          <w:tcPr>
            <w:tcW w:w="1864" w:type="dxa"/>
            <w:tcBorders>
              <w:top w:val="nil"/>
              <w:left w:val="nil"/>
              <w:bottom w:val="single" w:color="auto" w:sz="8" w:space="0"/>
              <w:right w:val="single" w:color="auto" w:sz="8"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2021.4.24-4.25</w:t>
            </w:r>
          </w:p>
        </w:tc>
        <w:tc>
          <w:tcPr>
            <w:tcW w:w="1135" w:type="dxa"/>
            <w:vMerge w:val="restart"/>
            <w:tcBorders>
              <w:top w:val="nil"/>
              <w:left w:val="single" w:color="auto" w:sz="8" w:space="0"/>
              <w:bottom w:val="single" w:color="000000" w:sz="8" w:space="0"/>
              <w:right w:val="single" w:color="auto" w:sz="8"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云南大学（昆明）</w:t>
            </w:r>
          </w:p>
        </w:tc>
      </w:tr>
      <w:tr>
        <w:tblPrEx>
          <w:tblCellMar>
            <w:top w:w="0" w:type="dxa"/>
            <w:left w:w="108" w:type="dxa"/>
            <w:bottom w:w="0" w:type="dxa"/>
            <w:right w:w="108" w:type="dxa"/>
          </w:tblCellMar>
        </w:tblPrEx>
        <w:trPr>
          <w:trHeight w:val="855" w:hRule="atLeast"/>
        </w:trPr>
        <w:tc>
          <w:tcPr>
            <w:tcW w:w="582" w:type="dxa"/>
            <w:vMerge w:val="continue"/>
            <w:tcBorders>
              <w:top w:val="nil"/>
              <w:left w:val="single" w:color="auto" w:sz="8" w:space="0"/>
              <w:bottom w:val="single" w:color="000000" w:sz="8" w:space="0"/>
              <w:right w:val="single" w:color="auto" w:sz="8" w:space="0"/>
            </w:tcBorders>
            <w:shd w:val="clear" w:color="auto" w:fill="FBD4B4"/>
            <w:vAlign w:val="center"/>
          </w:tcPr>
          <w:p>
            <w:pPr>
              <w:rPr>
                <w:rFonts w:ascii="Calibri" w:hAnsi="Calibri"/>
                <w:szCs w:val="22"/>
              </w:rPr>
            </w:pPr>
          </w:p>
        </w:tc>
        <w:tc>
          <w:tcPr>
            <w:tcW w:w="1080" w:type="dxa"/>
            <w:tcBorders>
              <w:top w:val="nil"/>
              <w:left w:val="nil"/>
              <w:bottom w:val="single" w:color="auto" w:sz="8" w:space="0"/>
              <w:right w:val="single" w:color="auto" w:sz="8" w:space="0"/>
            </w:tcBorders>
            <w:shd w:val="clear" w:color="auto" w:fill="FFFFFF"/>
            <w:vAlign w:val="center"/>
          </w:tcPr>
          <w:p>
            <w:pPr>
              <w:widowControl/>
              <w:jc w:val="center"/>
              <w:rPr>
                <w:rFonts w:ascii="宋体" w:hAnsi="宋体" w:cs="宋体"/>
                <w:b/>
                <w:kern w:val="0"/>
                <w:szCs w:val="21"/>
              </w:rPr>
            </w:pPr>
            <w:r>
              <w:rPr>
                <w:rFonts w:hint="eastAsia" w:ascii="宋体" w:hAnsi="宋体" w:cs="宋体"/>
                <w:b/>
                <w:kern w:val="0"/>
                <w:szCs w:val="21"/>
              </w:rPr>
              <w:t>研究生组</w:t>
            </w:r>
          </w:p>
        </w:tc>
        <w:tc>
          <w:tcPr>
            <w:tcW w:w="2322" w:type="dxa"/>
            <w:tcBorders>
              <w:top w:val="nil"/>
              <w:left w:val="nil"/>
              <w:bottom w:val="single" w:color="auto" w:sz="8" w:space="0"/>
              <w:right w:val="single" w:color="auto" w:sz="8" w:space="0"/>
            </w:tcBorders>
            <w:shd w:val="clear" w:color="auto" w:fill="FFFFFF"/>
            <w:vAlign w:val="center"/>
          </w:tcPr>
          <w:p>
            <w:pPr>
              <w:widowControl/>
              <w:jc w:val="center"/>
              <w:rPr>
                <w:rFonts w:ascii="宋体" w:hAnsi="宋体" w:cs="宋体"/>
                <w:kern w:val="0"/>
                <w:szCs w:val="21"/>
              </w:rPr>
            </w:pPr>
            <w:r>
              <w:rPr>
                <w:rFonts w:hint="eastAsia" w:ascii="宋体" w:hAnsi="宋体" w:cs="宋体"/>
                <w:color w:val="000000"/>
                <w:kern w:val="0"/>
                <w:szCs w:val="21"/>
              </w:rPr>
              <w:t>第11届</w:t>
            </w:r>
            <w:r>
              <w:rPr>
                <w:rFonts w:hint="eastAsia" w:ascii="宋体" w:hAnsi="宋体" w:cs="宋体"/>
                <w:kern w:val="0"/>
                <w:szCs w:val="21"/>
              </w:rPr>
              <w:t>全国赛</w:t>
            </w:r>
          </w:p>
        </w:tc>
        <w:tc>
          <w:tcPr>
            <w:tcW w:w="1135" w:type="dxa"/>
            <w:tcBorders>
              <w:top w:val="nil"/>
              <w:left w:val="nil"/>
              <w:bottom w:val="single" w:color="auto" w:sz="8" w:space="0"/>
              <w:right w:val="single" w:color="auto" w:sz="8"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团体赛（</w:t>
            </w:r>
            <w:r>
              <w:rPr>
                <w:color w:val="000000"/>
                <w:kern w:val="0"/>
                <w:szCs w:val="21"/>
              </w:rPr>
              <w:t>3-5</w:t>
            </w:r>
            <w:r>
              <w:rPr>
                <w:rFonts w:hint="eastAsia" w:ascii="宋体" w:hAnsi="宋体" w:cs="宋体"/>
                <w:color w:val="000000"/>
                <w:kern w:val="0"/>
                <w:szCs w:val="21"/>
              </w:rPr>
              <w:t>人）</w:t>
            </w:r>
          </w:p>
        </w:tc>
        <w:tc>
          <w:tcPr>
            <w:tcW w:w="1397" w:type="dxa"/>
            <w:tcBorders>
              <w:top w:val="nil"/>
              <w:left w:val="nil"/>
              <w:bottom w:val="single" w:color="auto" w:sz="8" w:space="0"/>
              <w:right w:val="single" w:color="auto" w:sz="8"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调研报告评审、</w:t>
            </w:r>
            <w:r>
              <w:rPr>
                <w:color w:val="000000"/>
                <w:kern w:val="0"/>
                <w:szCs w:val="21"/>
              </w:rPr>
              <w:t>PPT</w:t>
            </w:r>
            <w:r>
              <w:rPr>
                <w:rFonts w:hint="eastAsia" w:ascii="宋体" w:hAnsi="宋体" w:cs="宋体"/>
                <w:color w:val="000000"/>
                <w:kern w:val="0"/>
                <w:szCs w:val="21"/>
              </w:rPr>
              <w:t>陈述、答辩</w:t>
            </w:r>
          </w:p>
        </w:tc>
        <w:tc>
          <w:tcPr>
            <w:tcW w:w="1864" w:type="dxa"/>
            <w:tcBorders>
              <w:top w:val="nil"/>
              <w:left w:val="nil"/>
              <w:bottom w:val="single" w:color="auto" w:sz="8" w:space="0"/>
              <w:right w:val="single" w:color="auto" w:sz="8"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2021.4.24-4.25</w:t>
            </w:r>
          </w:p>
        </w:tc>
        <w:tc>
          <w:tcPr>
            <w:tcW w:w="1135" w:type="dxa"/>
            <w:vMerge w:val="continue"/>
            <w:tcBorders>
              <w:top w:val="nil"/>
              <w:left w:val="single" w:color="auto" w:sz="8" w:space="0"/>
              <w:bottom w:val="single" w:color="000000" w:sz="8" w:space="0"/>
              <w:right w:val="single" w:color="auto" w:sz="8" w:space="0"/>
            </w:tcBorders>
            <w:shd w:val="clear" w:color="auto" w:fill="auto"/>
            <w:vAlign w:val="center"/>
          </w:tcPr>
          <w:p>
            <w:pPr>
              <w:rPr>
                <w:rFonts w:ascii="Calibri" w:hAnsi="Calibri"/>
                <w:szCs w:val="22"/>
              </w:rPr>
            </w:pPr>
          </w:p>
        </w:tc>
      </w:tr>
      <w:tr>
        <w:tblPrEx>
          <w:tblCellMar>
            <w:top w:w="0" w:type="dxa"/>
            <w:left w:w="108" w:type="dxa"/>
            <w:bottom w:w="0" w:type="dxa"/>
            <w:right w:w="108" w:type="dxa"/>
          </w:tblCellMar>
        </w:tblPrEx>
        <w:trPr>
          <w:trHeight w:val="750" w:hRule="atLeast"/>
        </w:trPr>
        <w:tc>
          <w:tcPr>
            <w:tcW w:w="582" w:type="dxa"/>
            <w:vMerge w:val="continue"/>
            <w:tcBorders>
              <w:top w:val="nil"/>
              <w:left w:val="single" w:color="auto" w:sz="8" w:space="0"/>
              <w:bottom w:val="single" w:color="000000" w:sz="8" w:space="0"/>
              <w:right w:val="single" w:color="auto" w:sz="8" w:space="0"/>
            </w:tcBorders>
            <w:shd w:val="clear" w:color="auto" w:fill="FBD4B4"/>
            <w:vAlign w:val="center"/>
          </w:tcPr>
          <w:p>
            <w:pPr>
              <w:rPr>
                <w:rFonts w:ascii="Calibri" w:hAnsi="Calibri"/>
                <w:szCs w:val="22"/>
              </w:rPr>
            </w:pPr>
          </w:p>
        </w:tc>
        <w:tc>
          <w:tcPr>
            <w:tcW w:w="3404" w:type="dxa"/>
            <w:gridSpan w:val="2"/>
            <w:tcBorders>
              <w:top w:val="single" w:color="auto" w:sz="8" w:space="0"/>
              <w:left w:val="nil"/>
              <w:bottom w:val="single" w:color="auto" w:sz="8" w:space="0"/>
              <w:right w:val="single" w:color="000000" w:sz="8"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海峡两岸大学生市场调查与分析大赛总决赛</w:t>
            </w:r>
          </w:p>
        </w:tc>
        <w:tc>
          <w:tcPr>
            <w:tcW w:w="1135" w:type="dxa"/>
            <w:tcBorders>
              <w:top w:val="nil"/>
              <w:left w:val="nil"/>
              <w:bottom w:val="single" w:color="auto" w:sz="8" w:space="0"/>
              <w:right w:val="single" w:color="auto" w:sz="8"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团体赛（</w:t>
            </w:r>
            <w:r>
              <w:rPr>
                <w:color w:val="000000"/>
                <w:kern w:val="0"/>
                <w:szCs w:val="21"/>
              </w:rPr>
              <w:t>3-5</w:t>
            </w:r>
            <w:r>
              <w:rPr>
                <w:rFonts w:hint="eastAsia" w:ascii="宋体" w:hAnsi="宋体" w:cs="宋体"/>
                <w:color w:val="000000"/>
                <w:kern w:val="0"/>
                <w:szCs w:val="21"/>
              </w:rPr>
              <w:t>人）</w:t>
            </w:r>
          </w:p>
        </w:tc>
        <w:tc>
          <w:tcPr>
            <w:tcW w:w="1397" w:type="dxa"/>
            <w:tcBorders>
              <w:top w:val="nil"/>
              <w:left w:val="nil"/>
              <w:bottom w:val="single" w:color="auto" w:sz="8" w:space="0"/>
              <w:right w:val="single" w:color="auto" w:sz="8"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调研报告评审、</w:t>
            </w:r>
            <w:r>
              <w:rPr>
                <w:color w:val="000000"/>
                <w:kern w:val="0"/>
                <w:szCs w:val="21"/>
              </w:rPr>
              <w:t>PPT</w:t>
            </w:r>
            <w:r>
              <w:rPr>
                <w:rFonts w:hint="eastAsia" w:ascii="宋体" w:hAnsi="宋体" w:cs="宋体"/>
                <w:color w:val="000000"/>
                <w:kern w:val="0"/>
                <w:szCs w:val="21"/>
              </w:rPr>
              <w:t>陈述、答辩</w:t>
            </w:r>
          </w:p>
        </w:tc>
        <w:tc>
          <w:tcPr>
            <w:tcW w:w="1864" w:type="dxa"/>
            <w:tcBorders>
              <w:top w:val="nil"/>
              <w:left w:val="nil"/>
              <w:bottom w:val="single" w:color="auto" w:sz="8" w:space="0"/>
              <w:right w:val="single" w:color="auto" w:sz="8"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2021.8月下旬</w:t>
            </w:r>
          </w:p>
        </w:tc>
        <w:tc>
          <w:tcPr>
            <w:tcW w:w="1135" w:type="dxa"/>
            <w:vMerge w:val="continue"/>
            <w:tcBorders>
              <w:top w:val="nil"/>
              <w:left w:val="single" w:color="auto" w:sz="8" w:space="0"/>
              <w:bottom w:val="single" w:color="000000" w:sz="8" w:space="0"/>
              <w:right w:val="single" w:color="auto" w:sz="8" w:space="0"/>
            </w:tcBorders>
            <w:shd w:val="clear" w:color="auto" w:fill="auto"/>
            <w:vAlign w:val="center"/>
          </w:tcPr>
          <w:p>
            <w:pPr>
              <w:rPr>
                <w:rFonts w:ascii="Calibri" w:hAnsi="Calibri"/>
                <w:szCs w:val="22"/>
              </w:rPr>
            </w:pPr>
          </w:p>
        </w:tc>
      </w:tr>
    </w:tbl>
    <w:p>
      <w:pPr>
        <w:ind w:left="850" w:hanging="850" w:hangingChars="405"/>
      </w:pPr>
    </w:p>
    <w:p>
      <w:pPr>
        <w:ind w:left="850" w:hanging="850" w:hangingChars="405"/>
      </w:pPr>
      <w:r>
        <w:rPr>
          <w:rFonts w:hint="eastAsia" w:cs="宋体"/>
        </w:rPr>
        <w:t>备注：</w:t>
      </w:r>
      <w:r>
        <w:t>1</w:t>
      </w:r>
      <w:r>
        <w:rPr>
          <w:rFonts w:hint="eastAsia" w:cs="宋体"/>
        </w:rPr>
        <w:t>、参赛学生确认信息提交截止日期</w:t>
      </w:r>
      <w:r>
        <w:rPr>
          <w:rFonts w:hint="eastAsia" w:cs="宋体"/>
          <w:kern w:val="0"/>
          <w:szCs w:val="21"/>
        </w:rPr>
        <w:t>：</w:t>
      </w:r>
      <w:r>
        <w:rPr>
          <w:kern w:val="0"/>
          <w:szCs w:val="21"/>
        </w:rPr>
        <w:t>2020</w:t>
      </w:r>
      <w:r>
        <w:rPr>
          <w:rFonts w:hint="eastAsia" w:cs="宋体"/>
          <w:kern w:val="0"/>
          <w:szCs w:val="21"/>
        </w:rPr>
        <w:t>年</w:t>
      </w:r>
      <w:r>
        <w:rPr>
          <w:kern w:val="0"/>
          <w:szCs w:val="21"/>
        </w:rPr>
        <w:t>10</w:t>
      </w:r>
      <w:r>
        <w:rPr>
          <w:rFonts w:hint="eastAsia" w:cs="宋体"/>
          <w:kern w:val="0"/>
          <w:szCs w:val="21"/>
        </w:rPr>
        <w:t>月</w:t>
      </w:r>
      <w:r>
        <w:rPr>
          <w:kern w:val="0"/>
          <w:szCs w:val="21"/>
        </w:rPr>
        <w:t>20</w:t>
      </w:r>
      <w:r>
        <w:rPr>
          <w:rFonts w:hint="eastAsia" w:cs="宋体"/>
        </w:rPr>
        <w:t xml:space="preserve">日 </w:t>
      </w:r>
    </w:p>
    <w:p>
      <w:pPr>
        <w:ind w:left="850" w:hanging="850" w:hangingChars="405"/>
      </w:pPr>
      <w:r>
        <w:t xml:space="preserve">      </w:t>
      </w:r>
      <w:r>
        <w:rPr>
          <w:rFonts w:hint="eastAsia"/>
        </w:rPr>
        <w:t>2</w:t>
      </w:r>
      <w:r>
        <w:rPr>
          <w:rFonts w:hint="eastAsia" w:cs="宋体"/>
        </w:rPr>
        <w:t>、专科生和本科生知识赛网考合格，自愿组成团队</w:t>
      </w:r>
      <w:r>
        <w:rPr>
          <w:rFonts w:hint="eastAsia" w:cs="宋体"/>
          <w:kern w:val="0"/>
          <w:szCs w:val="21"/>
        </w:rPr>
        <w:t>（</w:t>
      </w:r>
      <w:r>
        <w:rPr>
          <w:kern w:val="0"/>
          <w:szCs w:val="21"/>
        </w:rPr>
        <w:t>3-5</w:t>
      </w:r>
      <w:r>
        <w:rPr>
          <w:rFonts w:hint="eastAsia" w:cs="宋体"/>
          <w:kern w:val="0"/>
          <w:szCs w:val="21"/>
        </w:rPr>
        <w:t>人</w:t>
      </w:r>
      <w:r>
        <w:rPr>
          <w:kern w:val="0"/>
          <w:szCs w:val="21"/>
        </w:rPr>
        <w:t>/</w:t>
      </w:r>
      <w:r>
        <w:rPr>
          <w:rFonts w:hint="eastAsia" w:cs="宋体"/>
          <w:kern w:val="0"/>
          <w:szCs w:val="21"/>
        </w:rPr>
        <w:t>队）</w:t>
      </w:r>
      <w:r>
        <w:rPr>
          <w:rFonts w:hint="eastAsia" w:cs="宋体"/>
        </w:rPr>
        <w:t>参加</w:t>
      </w:r>
      <w:r>
        <w:rPr>
          <w:rFonts w:hint="eastAsia" w:ascii="宋体" w:hAnsi="宋体" w:cs="宋体"/>
          <w:szCs w:val="21"/>
        </w:rPr>
        <w:t>市场调查与分析大赛实践赛</w:t>
      </w:r>
      <w:r>
        <w:t xml:space="preserve"> </w:t>
      </w:r>
    </w:p>
    <w:p>
      <w:pPr>
        <w:ind w:left="840" w:leftChars="300" w:hanging="210" w:hangingChars="100"/>
      </w:pPr>
      <w:r>
        <w:rPr>
          <w:rFonts w:hint="eastAsia"/>
        </w:rPr>
        <w:t>3</w:t>
      </w:r>
      <w:r>
        <w:rPr>
          <w:rFonts w:hint="eastAsia" w:cs="宋体"/>
        </w:rPr>
        <w:t>、</w:t>
      </w:r>
      <w:r>
        <w:rPr>
          <w:rFonts w:hint="eastAsia" w:cs="宋体"/>
          <w:color w:val="FF0000"/>
        </w:rPr>
        <w:t>研究生组不设省赛</w:t>
      </w:r>
      <w:r>
        <w:rPr>
          <w:rFonts w:hint="eastAsia" w:cs="宋体"/>
        </w:rPr>
        <w:t>，由各校选拔优秀团队直接参加全国总决赛</w:t>
      </w:r>
      <w:r>
        <w:t xml:space="preserve"> </w:t>
      </w:r>
    </w:p>
    <w:p>
      <w:pPr>
        <w:ind w:left="840" w:leftChars="300" w:hanging="210" w:hangingChars="100"/>
      </w:pPr>
      <w:r>
        <w:rPr>
          <w:rFonts w:hint="eastAsia"/>
        </w:rPr>
        <w:t>4</w:t>
      </w:r>
      <w:r>
        <w:rPr>
          <w:rFonts w:hint="eastAsia" w:cs="宋体"/>
        </w:rPr>
        <w:t>、参加企业命题论文赛的团队于</w:t>
      </w:r>
      <w:r>
        <w:t>2021</w:t>
      </w:r>
      <w:r>
        <w:rPr>
          <w:rFonts w:hint="eastAsia" w:cs="宋体"/>
        </w:rPr>
        <w:t>年</w:t>
      </w:r>
      <w:r>
        <w:t>4</w:t>
      </w:r>
      <w:r>
        <w:rPr>
          <w:rFonts w:hint="eastAsia" w:cs="宋体"/>
        </w:rPr>
        <w:t>月</w:t>
      </w:r>
      <w:r>
        <w:t>10</w:t>
      </w:r>
      <w:r>
        <w:rPr>
          <w:rFonts w:hint="eastAsia" w:cs="宋体"/>
        </w:rPr>
        <w:t>日前提交论文参加评审，角逐直通全国赛名额和正大优秀论文奖（</w:t>
      </w:r>
      <w:r>
        <w:rPr>
          <w:rFonts w:hint="eastAsia" w:cs="宋体"/>
          <w:color w:val="FF0000"/>
        </w:rPr>
        <w:t>注：</w:t>
      </w:r>
      <w:r>
        <w:rPr>
          <w:rFonts w:hint="eastAsia" w:cs="宋体"/>
        </w:rPr>
        <w:t>专科组和研究生组可选企业命题，但不参加命题论文赛）</w:t>
      </w:r>
    </w:p>
    <w:p>
      <w:pPr>
        <w:ind w:left="840" w:leftChars="300" w:hanging="210" w:hangingChars="100"/>
      </w:pPr>
    </w:p>
    <w:p>
      <w:pPr>
        <w:ind w:left="1138" w:hanging="1138" w:hangingChars="405"/>
        <w:rPr>
          <w:rFonts w:ascii="宋体" w:hAnsi="宋体" w:cs="宋体"/>
          <w:b/>
          <w:bCs/>
          <w:kern w:val="0"/>
          <w:sz w:val="28"/>
          <w:szCs w:val="28"/>
        </w:rPr>
      </w:pPr>
    </w:p>
    <w:sectPr>
      <w:headerReference r:id="rId3" w:type="default"/>
      <w:pgSz w:w="11906" w:h="16838"/>
      <w:pgMar w:top="1134" w:right="1134" w:bottom="1134" w:left="113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nforcement="0"/>
  <w:defaultTabStop w:val="420"/>
  <w:drawingGridHorizontalSpacing w:val="0"/>
  <w:drawingGridVerticalSpacing w:val="156"/>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172A27"/>
    <w:rsid w:val="00076412"/>
    <w:rsid w:val="00077624"/>
    <w:rsid w:val="00083977"/>
    <w:rsid w:val="000872B9"/>
    <w:rsid w:val="000A3757"/>
    <w:rsid w:val="000B22EB"/>
    <w:rsid w:val="000B340C"/>
    <w:rsid w:val="000C3311"/>
    <w:rsid w:val="00106C90"/>
    <w:rsid w:val="0011109E"/>
    <w:rsid w:val="00115072"/>
    <w:rsid w:val="00123E87"/>
    <w:rsid w:val="0015274F"/>
    <w:rsid w:val="00172A27"/>
    <w:rsid w:val="00186E84"/>
    <w:rsid w:val="001A779D"/>
    <w:rsid w:val="001D76AC"/>
    <w:rsid w:val="001F50CC"/>
    <w:rsid w:val="00214F24"/>
    <w:rsid w:val="0022175B"/>
    <w:rsid w:val="002261AF"/>
    <w:rsid w:val="002432E4"/>
    <w:rsid w:val="002461B3"/>
    <w:rsid w:val="00254D99"/>
    <w:rsid w:val="00266321"/>
    <w:rsid w:val="00267821"/>
    <w:rsid w:val="00271A2A"/>
    <w:rsid w:val="00273D46"/>
    <w:rsid w:val="00283C6C"/>
    <w:rsid w:val="00285CCE"/>
    <w:rsid w:val="002A2A15"/>
    <w:rsid w:val="002B0613"/>
    <w:rsid w:val="002B6926"/>
    <w:rsid w:val="002C3931"/>
    <w:rsid w:val="002D2D83"/>
    <w:rsid w:val="00316B62"/>
    <w:rsid w:val="00326D26"/>
    <w:rsid w:val="0034106C"/>
    <w:rsid w:val="00341C10"/>
    <w:rsid w:val="00364DA3"/>
    <w:rsid w:val="00392CBC"/>
    <w:rsid w:val="00397A29"/>
    <w:rsid w:val="003A48E1"/>
    <w:rsid w:val="003E7C18"/>
    <w:rsid w:val="003E7C23"/>
    <w:rsid w:val="00404A2E"/>
    <w:rsid w:val="0040505C"/>
    <w:rsid w:val="00420B98"/>
    <w:rsid w:val="00433AD3"/>
    <w:rsid w:val="00453C6E"/>
    <w:rsid w:val="00456D1A"/>
    <w:rsid w:val="004718CA"/>
    <w:rsid w:val="00491638"/>
    <w:rsid w:val="004A666C"/>
    <w:rsid w:val="004B28D5"/>
    <w:rsid w:val="004B61AF"/>
    <w:rsid w:val="004C68FA"/>
    <w:rsid w:val="004D3621"/>
    <w:rsid w:val="00513D2F"/>
    <w:rsid w:val="00517393"/>
    <w:rsid w:val="00525559"/>
    <w:rsid w:val="00555BF1"/>
    <w:rsid w:val="00564394"/>
    <w:rsid w:val="00582E93"/>
    <w:rsid w:val="005A22AC"/>
    <w:rsid w:val="005C7723"/>
    <w:rsid w:val="005D2159"/>
    <w:rsid w:val="005E00AB"/>
    <w:rsid w:val="005F1076"/>
    <w:rsid w:val="005F7D36"/>
    <w:rsid w:val="00607D43"/>
    <w:rsid w:val="006208B4"/>
    <w:rsid w:val="00633308"/>
    <w:rsid w:val="00662484"/>
    <w:rsid w:val="00677156"/>
    <w:rsid w:val="0069032B"/>
    <w:rsid w:val="006919E5"/>
    <w:rsid w:val="006A0AB0"/>
    <w:rsid w:val="006C7EFB"/>
    <w:rsid w:val="006D2581"/>
    <w:rsid w:val="006F498C"/>
    <w:rsid w:val="007360CC"/>
    <w:rsid w:val="00745071"/>
    <w:rsid w:val="007866DD"/>
    <w:rsid w:val="007A50BE"/>
    <w:rsid w:val="007A575A"/>
    <w:rsid w:val="007B35C4"/>
    <w:rsid w:val="007B5762"/>
    <w:rsid w:val="007D20C4"/>
    <w:rsid w:val="007E57BA"/>
    <w:rsid w:val="007F2B44"/>
    <w:rsid w:val="008131AB"/>
    <w:rsid w:val="00840020"/>
    <w:rsid w:val="00860205"/>
    <w:rsid w:val="00861608"/>
    <w:rsid w:val="00873CB1"/>
    <w:rsid w:val="00876A76"/>
    <w:rsid w:val="0089107E"/>
    <w:rsid w:val="008960C9"/>
    <w:rsid w:val="008A12D6"/>
    <w:rsid w:val="008A6743"/>
    <w:rsid w:val="008B30E1"/>
    <w:rsid w:val="008D0922"/>
    <w:rsid w:val="008D56F6"/>
    <w:rsid w:val="008F0DA0"/>
    <w:rsid w:val="008F4B5E"/>
    <w:rsid w:val="008F659D"/>
    <w:rsid w:val="0090493B"/>
    <w:rsid w:val="009109E8"/>
    <w:rsid w:val="00917BB6"/>
    <w:rsid w:val="00927F4E"/>
    <w:rsid w:val="0096209A"/>
    <w:rsid w:val="00965DBD"/>
    <w:rsid w:val="009D7549"/>
    <w:rsid w:val="009E17A4"/>
    <w:rsid w:val="009E1E7B"/>
    <w:rsid w:val="009F78F2"/>
    <w:rsid w:val="00A03BE0"/>
    <w:rsid w:val="00A13CE8"/>
    <w:rsid w:val="00A2738D"/>
    <w:rsid w:val="00A52704"/>
    <w:rsid w:val="00A540A7"/>
    <w:rsid w:val="00A5439C"/>
    <w:rsid w:val="00A54F37"/>
    <w:rsid w:val="00A80955"/>
    <w:rsid w:val="00A9497C"/>
    <w:rsid w:val="00AA6081"/>
    <w:rsid w:val="00AB1C13"/>
    <w:rsid w:val="00AB2A3E"/>
    <w:rsid w:val="00AB659D"/>
    <w:rsid w:val="00AB7F9E"/>
    <w:rsid w:val="00AC31F6"/>
    <w:rsid w:val="00AC6B4D"/>
    <w:rsid w:val="00AD24C3"/>
    <w:rsid w:val="00AE347E"/>
    <w:rsid w:val="00AF72BF"/>
    <w:rsid w:val="00B13AA3"/>
    <w:rsid w:val="00B1456E"/>
    <w:rsid w:val="00B45964"/>
    <w:rsid w:val="00B665FB"/>
    <w:rsid w:val="00BA5457"/>
    <w:rsid w:val="00BB19EB"/>
    <w:rsid w:val="00BD0559"/>
    <w:rsid w:val="00C03AA8"/>
    <w:rsid w:val="00C04964"/>
    <w:rsid w:val="00C47280"/>
    <w:rsid w:val="00C6738A"/>
    <w:rsid w:val="00C924CA"/>
    <w:rsid w:val="00CC4F6D"/>
    <w:rsid w:val="00CE1064"/>
    <w:rsid w:val="00CE2628"/>
    <w:rsid w:val="00CF6BF2"/>
    <w:rsid w:val="00D41E43"/>
    <w:rsid w:val="00D52B2E"/>
    <w:rsid w:val="00D66017"/>
    <w:rsid w:val="00D72226"/>
    <w:rsid w:val="00D84392"/>
    <w:rsid w:val="00DA6C0E"/>
    <w:rsid w:val="00DA7A68"/>
    <w:rsid w:val="00DC6610"/>
    <w:rsid w:val="00DC7274"/>
    <w:rsid w:val="00DF1B6A"/>
    <w:rsid w:val="00DF48CD"/>
    <w:rsid w:val="00E222A0"/>
    <w:rsid w:val="00E71B6A"/>
    <w:rsid w:val="00E9279F"/>
    <w:rsid w:val="00E940E4"/>
    <w:rsid w:val="00EA0EB8"/>
    <w:rsid w:val="00EA25C6"/>
    <w:rsid w:val="00EA5279"/>
    <w:rsid w:val="00EC6EA3"/>
    <w:rsid w:val="00F00D26"/>
    <w:rsid w:val="00F10527"/>
    <w:rsid w:val="00F12970"/>
    <w:rsid w:val="00F26581"/>
    <w:rsid w:val="00F311FD"/>
    <w:rsid w:val="00F42E67"/>
    <w:rsid w:val="00F6149F"/>
    <w:rsid w:val="00F67D8F"/>
    <w:rsid w:val="00F77B53"/>
    <w:rsid w:val="00FE2302"/>
    <w:rsid w:val="00FF73F3"/>
    <w:rsid w:val="09E67369"/>
    <w:rsid w:val="10A97F4E"/>
    <w:rsid w:val="220D7EE3"/>
    <w:rsid w:val="264C6980"/>
    <w:rsid w:val="272962B9"/>
    <w:rsid w:val="2B980C0E"/>
    <w:rsid w:val="311A2493"/>
    <w:rsid w:val="361E130F"/>
    <w:rsid w:val="37937AA6"/>
    <w:rsid w:val="45B94840"/>
    <w:rsid w:val="5F013129"/>
    <w:rsid w:val="62AF120A"/>
    <w:rsid w:val="6ADD0FCD"/>
    <w:rsid w:val="6F5B7784"/>
    <w:rsid w:val="7B721CD4"/>
    <w:rsid w:val="7C5A1E0C"/>
    <w:rsid w:val="7E3661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nhideWhenUsed="0" w:uiPriority="0" w:semiHidden="0" w:name="header"/>
    <w:lsdException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20" w:semiHidden="0" w:name="Emphasis"/>
    <w:lsdException w:qFormat="1" w:uiPriority="99" w:semiHidden="0"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Document Map"/>
    <w:basedOn w:val="1"/>
    <w:link w:val="16"/>
    <w:unhideWhenUsed/>
    <w:qFormat/>
    <w:uiPriority w:val="99"/>
    <w:rPr>
      <w:rFonts w:ascii="宋体"/>
      <w:sz w:val="18"/>
      <w:szCs w:val="18"/>
    </w:rPr>
  </w:style>
  <w:style w:type="paragraph" w:styleId="3">
    <w:name w:val="annotation text"/>
    <w:basedOn w:val="1"/>
    <w:link w:val="15"/>
    <w:qFormat/>
    <w:uiPriority w:val="0"/>
    <w:pPr>
      <w:jc w:val="left"/>
    </w:pPr>
  </w:style>
  <w:style w:type="paragraph" w:styleId="4">
    <w:name w:val="Balloon Text"/>
    <w:basedOn w:val="1"/>
    <w:link w:val="18"/>
    <w:qFormat/>
    <w:uiPriority w:val="0"/>
    <w:rPr>
      <w:sz w:val="18"/>
      <w:szCs w:val="18"/>
    </w:rPr>
  </w:style>
  <w:style w:type="paragraph" w:styleId="5">
    <w:name w:val="footer"/>
    <w:basedOn w:val="1"/>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annotation subject"/>
    <w:basedOn w:val="3"/>
    <w:next w:val="3"/>
    <w:link w:val="14"/>
    <w:qFormat/>
    <w:uiPriority w:val="0"/>
    <w:rPr>
      <w:b/>
      <w:bCs/>
    </w:rPr>
  </w:style>
  <w:style w:type="character" w:styleId="10">
    <w:name w:val="Strong"/>
    <w:basedOn w:val="9"/>
    <w:qFormat/>
    <w:uiPriority w:val="0"/>
    <w:rPr>
      <w:b/>
      <w:bCs/>
    </w:rPr>
  </w:style>
  <w:style w:type="character" w:styleId="11">
    <w:name w:val="FollowedHyperlink"/>
    <w:basedOn w:val="9"/>
    <w:qFormat/>
    <w:uiPriority w:val="0"/>
    <w:rPr>
      <w:color w:val="800080"/>
      <w:u w:val="single"/>
    </w:rPr>
  </w:style>
  <w:style w:type="character" w:styleId="12">
    <w:name w:val="Hyperlink"/>
    <w:basedOn w:val="9"/>
    <w:qFormat/>
    <w:uiPriority w:val="0"/>
    <w:rPr>
      <w:color w:val="0000FF"/>
      <w:u w:val="single"/>
    </w:rPr>
  </w:style>
  <w:style w:type="character" w:styleId="13">
    <w:name w:val="annotation reference"/>
    <w:basedOn w:val="9"/>
    <w:qFormat/>
    <w:uiPriority w:val="0"/>
    <w:rPr>
      <w:sz w:val="21"/>
      <w:szCs w:val="21"/>
    </w:rPr>
  </w:style>
  <w:style w:type="character" w:customStyle="1" w:styleId="14">
    <w:name w:val="批注主题 Char"/>
    <w:basedOn w:val="15"/>
    <w:link w:val="7"/>
    <w:qFormat/>
    <w:uiPriority w:val="0"/>
    <w:rPr>
      <w:b/>
      <w:bCs/>
    </w:rPr>
  </w:style>
  <w:style w:type="character" w:customStyle="1" w:styleId="15">
    <w:name w:val="批注文字 Char"/>
    <w:basedOn w:val="9"/>
    <w:link w:val="3"/>
    <w:qFormat/>
    <w:uiPriority w:val="0"/>
    <w:rPr>
      <w:kern w:val="2"/>
      <w:sz w:val="21"/>
      <w:szCs w:val="24"/>
    </w:rPr>
  </w:style>
  <w:style w:type="character" w:customStyle="1" w:styleId="16">
    <w:name w:val="文档结构图 Char"/>
    <w:basedOn w:val="9"/>
    <w:link w:val="2"/>
    <w:semiHidden/>
    <w:qFormat/>
    <w:uiPriority w:val="99"/>
    <w:rPr>
      <w:rFonts w:ascii="宋体"/>
      <w:kern w:val="2"/>
      <w:sz w:val="18"/>
      <w:szCs w:val="18"/>
    </w:rPr>
  </w:style>
  <w:style w:type="character" w:customStyle="1" w:styleId="17">
    <w:name w:val="apple-converted-space"/>
    <w:basedOn w:val="9"/>
    <w:qFormat/>
    <w:uiPriority w:val="0"/>
  </w:style>
  <w:style w:type="character" w:customStyle="1" w:styleId="18">
    <w:name w:val="批注框文本 Char"/>
    <w:basedOn w:val="9"/>
    <w:link w:val="4"/>
    <w:qFormat/>
    <w:uiPriority w:val="0"/>
    <w:rPr>
      <w:kern w:val="2"/>
      <w:sz w:val="18"/>
      <w:szCs w:val="18"/>
    </w:rPr>
  </w:style>
  <w:style w:type="paragraph" w:customStyle="1" w:styleId="19">
    <w:name w:val="a"/>
    <w:basedOn w:val="1"/>
    <w:qFormat/>
    <w:uiPriority w:val="0"/>
    <w:pPr>
      <w:widowControl/>
      <w:spacing w:before="100" w:beforeAutospacing="1" w:after="100" w:afterAutospacing="1"/>
      <w:jc w:val="left"/>
    </w:pPr>
    <w:rPr>
      <w:rFonts w:ascii="宋体" w:hAnsi="宋体" w:cs="宋体"/>
      <w:kern w:val="0"/>
      <w:sz w:val="24"/>
    </w:rPr>
  </w:style>
  <w:style w:type="paragraph" w:customStyle="1" w:styleId="20">
    <w:name w:val="p0"/>
    <w:basedOn w:val="1"/>
    <w:qFormat/>
    <w:uiPriority w:val="0"/>
    <w:pPr>
      <w:widowControl/>
    </w:pPr>
    <w:rPr>
      <w:kern w:val="0"/>
      <w:szCs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www.xunchi.com</Company>
  <Pages>5</Pages>
  <Words>420</Words>
  <Characters>2400</Characters>
  <Lines>20</Lines>
  <Paragraphs>5</Paragraphs>
  <TotalTime>9</TotalTime>
  <ScaleCrop>false</ScaleCrop>
  <LinksUpToDate>false</LinksUpToDate>
  <CharactersWithSpaces>2815</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2019-09-26T07:09:00Z</dcterms:created>
  <dc:creator>Hasee User</dc:creator>
  <cp:lastModifiedBy>淼雾</cp:lastModifiedBy>
  <cp:lastPrinted>2015-10-28T02:30:00Z</cp:lastPrinted>
  <dcterms:modified xsi:type="dcterms:W3CDTF">2020-09-24T03:57:40Z</dcterms:modified>
  <dc:title>首届全国网上零售技能大赛实施若干问题</dc:title>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