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60" w:lineRule="exact"/>
        <w:ind w:firstLine="540" w:firstLineChars="180"/>
        <w:jc w:val="left"/>
        <w:outlineLvl w:val="0"/>
        <w:rPr>
          <w:rFonts w:eastAsia="黑体"/>
          <w:color w:val="auto"/>
          <w:kern w:val="0"/>
          <w:sz w:val="24"/>
        </w:rPr>
      </w:pPr>
      <w:r>
        <w:rPr>
          <w:rFonts w:eastAsia="黑体"/>
          <w:color w:val="auto"/>
          <w:kern w:val="0"/>
          <w:sz w:val="24"/>
        </w:rPr>
        <w:t>附件3：</w:t>
      </w:r>
    </w:p>
    <w:p>
      <w:pPr>
        <w:jc w:val="center"/>
        <w:rPr>
          <w:rFonts w:eastAsia="仿宋_GB2312"/>
          <w:b/>
          <w:color w:val="auto"/>
          <w:kern w:val="0"/>
          <w:sz w:val="28"/>
          <w:szCs w:val="28"/>
        </w:rPr>
      </w:pPr>
      <w:r>
        <w:rPr>
          <w:rFonts w:eastAsia="仿宋_GB2312"/>
          <w:b/>
          <w:color w:val="auto"/>
          <w:kern w:val="0"/>
          <w:sz w:val="28"/>
          <w:szCs w:val="28"/>
        </w:rPr>
        <w:t>湘潭大学第</w:t>
      </w:r>
      <w:r>
        <w:rPr>
          <w:rFonts w:hint="eastAsia" w:eastAsia="仿宋_GB2312"/>
          <w:b/>
          <w:color w:val="auto"/>
          <w:kern w:val="0"/>
          <w:sz w:val="28"/>
          <w:szCs w:val="28"/>
        </w:rPr>
        <w:t>六</w:t>
      </w:r>
      <w:r>
        <w:rPr>
          <w:rFonts w:eastAsia="仿宋_GB2312"/>
          <w:b/>
          <w:color w:val="auto"/>
          <w:kern w:val="0"/>
          <w:sz w:val="28"/>
          <w:szCs w:val="28"/>
        </w:rPr>
        <w:t>届“百灵鸟杯”英语辩论赛暨第</w:t>
      </w:r>
      <w:r>
        <w:rPr>
          <w:rFonts w:hint="eastAsia" w:eastAsia="仿宋_GB2312"/>
          <w:b/>
          <w:color w:val="auto"/>
          <w:kern w:val="0"/>
          <w:sz w:val="28"/>
          <w:szCs w:val="28"/>
        </w:rPr>
        <w:t>二十</w:t>
      </w:r>
      <w:r>
        <w:rPr>
          <w:rFonts w:eastAsia="仿宋_GB2312"/>
          <w:b/>
          <w:color w:val="auto"/>
          <w:kern w:val="0"/>
          <w:sz w:val="28"/>
          <w:szCs w:val="28"/>
        </w:rPr>
        <w:t>届</w:t>
      </w:r>
    </w:p>
    <w:p>
      <w:pPr>
        <w:jc w:val="center"/>
        <w:rPr>
          <w:b/>
          <w:color w:val="auto"/>
          <w:sz w:val="28"/>
          <w:szCs w:val="28"/>
        </w:rPr>
      </w:pPr>
      <w:r>
        <w:rPr>
          <w:rFonts w:eastAsia="仿宋_GB2312"/>
          <w:b/>
          <w:color w:val="auto"/>
          <w:kern w:val="0"/>
          <w:sz w:val="28"/>
          <w:szCs w:val="28"/>
        </w:rPr>
        <w:t>“外研社杯”全国英语辩论赛校内选拔赛辩手职责与评分准则</w:t>
      </w:r>
    </w:p>
    <w:p>
      <w:pPr>
        <w:jc w:val="center"/>
        <w:rPr>
          <w:b/>
          <w:color w:val="auto"/>
          <w:sz w:val="28"/>
          <w:szCs w:val="28"/>
        </w:rPr>
      </w:pPr>
      <w:r>
        <w:rPr>
          <w:b/>
          <w:color w:val="auto"/>
          <w:sz w:val="28"/>
          <w:szCs w:val="28"/>
        </w:rPr>
        <w:t>Speaker Roles</w:t>
      </w:r>
    </w:p>
    <w:p>
      <w:pPr>
        <w:ind w:firstLine="360" w:firstLineChars="150"/>
        <w:rPr>
          <w:color w:val="auto"/>
          <w:szCs w:val="21"/>
        </w:rPr>
      </w:pPr>
      <w:r>
        <w:rPr>
          <w:color w:val="auto"/>
          <w:sz w:val="24"/>
        </w:rPr>
        <w:t>Each speaker has a role and each speech has a specific purpose. The descriptions of speaker roles listed below are suggestive and are not intended to be exhaustive or exclusive. All speakers, except the final speakers for the Proposition and Opposition (Proposition and Opposition Whips), should introduce new material. All debaters should refute the opposing teams’ arguments, except the Prime Minister.</w:t>
      </w:r>
    </w:p>
    <w:tbl>
      <w:tblPr>
        <w:tblStyle w:val="6"/>
        <w:tblW w:w="97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84"/>
        <w:gridCol w:w="1418"/>
        <w:gridCol w:w="2375"/>
        <w:gridCol w:w="1452"/>
        <w:gridCol w:w="31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84" w:type="dxa"/>
            <w:vMerge w:val="restart"/>
            <w:vAlign w:val="center"/>
          </w:tcPr>
          <w:p>
            <w:pPr>
              <w:spacing w:line="360" w:lineRule="atLeast"/>
              <w:rPr>
                <w:color w:val="auto"/>
                <w:sz w:val="24"/>
              </w:rPr>
            </w:pPr>
          </w:p>
        </w:tc>
        <w:tc>
          <w:tcPr>
            <w:tcW w:w="3793" w:type="dxa"/>
            <w:gridSpan w:val="2"/>
            <w:vAlign w:val="center"/>
          </w:tcPr>
          <w:p>
            <w:pPr>
              <w:spacing w:line="360" w:lineRule="atLeast"/>
              <w:ind w:firstLine="705" w:firstLineChars="294"/>
              <w:rPr>
                <w:b/>
                <w:color w:val="auto"/>
                <w:sz w:val="24"/>
              </w:rPr>
            </w:pPr>
            <w:r>
              <w:rPr>
                <w:b/>
                <w:color w:val="auto"/>
                <w:sz w:val="24"/>
              </w:rPr>
              <w:t>Proposition Side</w:t>
            </w:r>
          </w:p>
        </w:tc>
        <w:tc>
          <w:tcPr>
            <w:tcW w:w="4579" w:type="dxa"/>
            <w:gridSpan w:val="2"/>
            <w:vAlign w:val="center"/>
          </w:tcPr>
          <w:p>
            <w:pPr>
              <w:spacing w:line="360" w:lineRule="atLeast"/>
              <w:ind w:firstLine="700" w:firstLineChars="292"/>
              <w:rPr>
                <w:b/>
                <w:color w:val="auto"/>
                <w:sz w:val="24"/>
              </w:rPr>
            </w:pPr>
            <w:r>
              <w:rPr>
                <w:b/>
                <w:color w:val="auto"/>
                <w:sz w:val="24"/>
              </w:rPr>
              <w:t>Opposition Side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84" w:type="dxa"/>
            <w:vMerge w:val="continue"/>
            <w:vAlign w:val="center"/>
          </w:tcPr>
          <w:p>
            <w:pPr>
              <w:spacing w:line="360" w:lineRule="atLeast"/>
              <w:rPr>
                <w:color w:val="auto"/>
                <w:sz w:val="24"/>
              </w:rPr>
            </w:pPr>
          </w:p>
        </w:tc>
        <w:tc>
          <w:tcPr>
            <w:tcW w:w="1418" w:type="dxa"/>
            <w:vAlign w:val="center"/>
          </w:tcPr>
          <w:p>
            <w:pPr>
              <w:spacing w:line="360" w:lineRule="atLeast"/>
              <w:ind w:firstLine="117" w:firstLineChars="49"/>
              <w:rPr>
                <w:b/>
                <w:color w:val="auto"/>
                <w:sz w:val="24"/>
              </w:rPr>
            </w:pPr>
            <w:r>
              <w:rPr>
                <w:b/>
                <w:color w:val="auto"/>
                <w:sz w:val="24"/>
              </w:rPr>
              <w:t>speakers</w:t>
            </w:r>
          </w:p>
        </w:tc>
        <w:tc>
          <w:tcPr>
            <w:tcW w:w="2375" w:type="dxa"/>
            <w:vAlign w:val="center"/>
          </w:tcPr>
          <w:p>
            <w:pPr>
              <w:spacing w:line="360" w:lineRule="atLeast"/>
              <w:ind w:firstLine="840" w:firstLineChars="350"/>
              <w:rPr>
                <w:color w:val="auto"/>
                <w:sz w:val="24"/>
              </w:rPr>
            </w:pPr>
            <w:r>
              <w:rPr>
                <w:color w:val="auto"/>
                <w:sz w:val="24"/>
              </w:rPr>
              <w:t>roles</w:t>
            </w:r>
          </w:p>
        </w:tc>
        <w:tc>
          <w:tcPr>
            <w:tcW w:w="1452" w:type="dxa"/>
            <w:vAlign w:val="center"/>
          </w:tcPr>
          <w:p>
            <w:pPr>
              <w:spacing w:line="360" w:lineRule="atLeast"/>
              <w:rPr>
                <w:b/>
                <w:color w:val="auto"/>
                <w:sz w:val="24"/>
              </w:rPr>
            </w:pPr>
            <w:r>
              <w:rPr>
                <w:b/>
                <w:color w:val="auto"/>
                <w:sz w:val="24"/>
              </w:rPr>
              <w:t>speakers</w:t>
            </w:r>
          </w:p>
        </w:tc>
        <w:tc>
          <w:tcPr>
            <w:tcW w:w="3127" w:type="dxa"/>
            <w:vAlign w:val="center"/>
          </w:tcPr>
          <w:p>
            <w:pPr>
              <w:spacing w:line="360" w:lineRule="atLeast"/>
              <w:ind w:firstLine="1320" w:firstLineChars="550"/>
              <w:rPr>
                <w:color w:val="auto"/>
                <w:sz w:val="24"/>
              </w:rPr>
            </w:pPr>
            <w:r>
              <w:rPr>
                <w:color w:val="auto"/>
                <w:sz w:val="24"/>
              </w:rPr>
              <w:t>roles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84" w:type="dxa"/>
            <w:vMerge w:val="restart"/>
            <w:vAlign w:val="center"/>
          </w:tcPr>
          <w:p>
            <w:pPr>
              <w:spacing w:line="360" w:lineRule="atLeast"/>
              <w:rPr>
                <w:color w:val="auto"/>
                <w:sz w:val="24"/>
              </w:rPr>
            </w:pPr>
            <w:r>
              <w:rPr>
                <w:color w:val="auto"/>
                <w:sz w:val="24"/>
              </w:rPr>
              <w:t>The Opening Proposition team</w:t>
            </w:r>
          </w:p>
        </w:tc>
        <w:tc>
          <w:tcPr>
            <w:tcW w:w="1418" w:type="dxa"/>
            <w:vAlign w:val="center"/>
          </w:tcPr>
          <w:p>
            <w:pPr>
              <w:spacing w:line="360" w:lineRule="atLeast"/>
              <w:rPr>
                <w:rFonts w:hint="eastAsia"/>
                <w:b/>
                <w:color w:val="auto"/>
                <w:sz w:val="24"/>
              </w:rPr>
            </w:pPr>
            <w:r>
              <w:rPr>
                <w:b/>
                <w:color w:val="auto"/>
                <w:sz w:val="24"/>
              </w:rPr>
              <w:t>Prime Minister</w:t>
            </w:r>
          </w:p>
        </w:tc>
        <w:tc>
          <w:tcPr>
            <w:tcW w:w="2375" w:type="dxa"/>
            <w:vAlign w:val="center"/>
          </w:tcPr>
          <w:p>
            <w:pPr>
              <w:spacing w:line="360" w:lineRule="atLeast"/>
              <w:rPr>
                <w:color w:val="auto"/>
                <w:spacing w:val="-8"/>
                <w:sz w:val="24"/>
              </w:rPr>
            </w:pPr>
            <w:r>
              <w:rPr>
                <w:color w:val="auto"/>
                <w:spacing w:val="-8"/>
                <w:sz w:val="24"/>
              </w:rPr>
              <w:t>establishes the foundation for a meaningful debate on the motion;</w:t>
            </w:r>
          </w:p>
          <w:p>
            <w:pPr>
              <w:spacing w:line="360" w:lineRule="atLeast"/>
              <w:rPr>
                <w:color w:val="auto"/>
                <w:sz w:val="24"/>
              </w:rPr>
            </w:pPr>
            <w:r>
              <w:rPr>
                <w:color w:val="auto"/>
                <w:spacing w:val="-8"/>
                <w:sz w:val="24"/>
              </w:rPr>
              <w:t>presents a case supporting the motion.</w:t>
            </w:r>
          </w:p>
        </w:tc>
        <w:tc>
          <w:tcPr>
            <w:tcW w:w="1452" w:type="dxa"/>
            <w:vAlign w:val="center"/>
          </w:tcPr>
          <w:p>
            <w:pPr>
              <w:spacing w:line="360" w:lineRule="atLeast"/>
              <w:rPr>
                <w:color w:val="auto"/>
                <w:sz w:val="24"/>
              </w:rPr>
            </w:pPr>
            <w:r>
              <w:rPr>
                <w:b/>
                <w:color w:val="auto"/>
                <w:sz w:val="24"/>
              </w:rPr>
              <w:t>Leader of the Opposition</w:t>
            </w:r>
          </w:p>
        </w:tc>
        <w:tc>
          <w:tcPr>
            <w:tcW w:w="3127" w:type="dxa"/>
            <w:vAlign w:val="center"/>
          </w:tcPr>
          <w:p>
            <w:pPr>
              <w:spacing w:line="360" w:lineRule="atLeast"/>
              <w:rPr>
                <w:color w:val="auto"/>
                <w:sz w:val="24"/>
              </w:rPr>
            </w:pPr>
            <w:r>
              <w:rPr>
                <w:color w:val="auto"/>
                <w:spacing w:val="-8"/>
                <w:sz w:val="24"/>
              </w:rPr>
              <w:t>counters the first Proposition team's case through direct or indirect refutation and/or provides substantive arguments against the motion.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12" w:hRule="atLeast"/>
        </w:trPr>
        <w:tc>
          <w:tcPr>
            <w:tcW w:w="1384" w:type="dxa"/>
            <w:vMerge w:val="continue"/>
            <w:vAlign w:val="center"/>
          </w:tcPr>
          <w:p>
            <w:pPr>
              <w:spacing w:line="360" w:lineRule="atLeast"/>
              <w:rPr>
                <w:color w:val="auto"/>
                <w:sz w:val="24"/>
              </w:rPr>
            </w:pPr>
          </w:p>
        </w:tc>
        <w:tc>
          <w:tcPr>
            <w:tcW w:w="1418" w:type="dxa"/>
            <w:vAlign w:val="center"/>
          </w:tcPr>
          <w:p>
            <w:pPr>
              <w:spacing w:line="360" w:lineRule="atLeast"/>
              <w:rPr>
                <w:color w:val="auto"/>
                <w:sz w:val="24"/>
              </w:rPr>
            </w:pPr>
            <w:r>
              <w:rPr>
                <w:b/>
                <w:color w:val="auto"/>
                <w:sz w:val="24"/>
              </w:rPr>
              <w:t>Deputy Prime Minister</w:t>
            </w:r>
          </w:p>
        </w:tc>
        <w:tc>
          <w:tcPr>
            <w:tcW w:w="2375" w:type="dxa"/>
            <w:vAlign w:val="center"/>
          </w:tcPr>
          <w:p>
            <w:pPr>
              <w:spacing w:line="360" w:lineRule="atLeast"/>
              <w:rPr>
                <w:color w:val="auto"/>
                <w:sz w:val="24"/>
              </w:rPr>
            </w:pPr>
            <w:r>
              <w:rPr>
                <w:color w:val="auto"/>
                <w:spacing w:val="-8"/>
                <w:sz w:val="24"/>
              </w:rPr>
              <w:t>refutes the Leader of the Opposition's speech, and further develops the Opening Proposition team's case.</w:t>
            </w:r>
          </w:p>
        </w:tc>
        <w:tc>
          <w:tcPr>
            <w:tcW w:w="1452" w:type="dxa"/>
            <w:vAlign w:val="center"/>
          </w:tcPr>
          <w:p>
            <w:pPr>
              <w:spacing w:line="360" w:lineRule="atLeast"/>
              <w:rPr>
                <w:color w:val="auto"/>
                <w:sz w:val="24"/>
              </w:rPr>
            </w:pPr>
            <w:r>
              <w:rPr>
                <w:b/>
                <w:color w:val="auto"/>
                <w:sz w:val="24"/>
              </w:rPr>
              <w:t>Deputy Leader of the Opposition</w:t>
            </w:r>
          </w:p>
        </w:tc>
        <w:tc>
          <w:tcPr>
            <w:tcW w:w="3127" w:type="dxa"/>
            <w:vAlign w:val="center"/>
          </w:tcPr>
          <w:p>
            <w:pPr>
              <w:spacing w:line="360" w:lineRule="atLeast"/>
              <w:rPr>
                <w:color w:val="auto"/>
                <w:sz w:val="24"/>
              </w:rPr>
            </w:pPr>
            <w:r>
              <w:rPr>
                <w:color w:val="auto"/>
                <w:sz w:val="24"/>
              </w:rPr>
              <w:t>supports his or her teammate, answering objections from the other side and introducing additional arguments or support.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84" w:type="dxa"/>
            <w:vMerge w:val="restart"/>
            <w:vAlign w:val="center"/>
          </w:tcPr>
          <w:p>
            <w:pPr>
              <w:spacing w:line="360" w:lineRule="atLeast"/>
              <w:rPr>
                <w:color w:val="auto"/>
                <w:sz w:val="24"/>
              </w:rPr>
            </w:pPr>
            <w:r>
              <w:rPr>
                <w:color w:val="auto"/>
                <w:sz w:val="24"/>
              </w:rPr>
              <w:t>The Closing Proposition team</w:t>
            </w:r>
          </w:p>
        </w:tc>
        <w:tc>
          <w:tcPr>
            <w:tcW w:w="1418" w:type="dxa"/>
            <w:vAlign w:val="center"/>
          </w:tcPr>
          <w:p>
            <w:pPr>
              <w:spacing w:line="360" w:lineRule="atLeast"/>
              <w:rPr>
                <w:color w:val="auto"/>
                <w:sz w:val="24"/>
              </w:rPr>
            </w:pPr>
            <w:r>
              <w:rPr>
                <w:b/>
                <w:color w:val="auto"/>
                <w:sz w:val="24"/>
              </w:rPr>
              <w:t>Member of the Proposition</w:t>
            </w:r>
          </w:p>
        </w:tc>
        <w:tc>
          <w:tcPr>
            <w:tcW w:w="2375" w:type="dxa"/>
            <w:vAlign w:val="center"/>
          </w:tcPr>
          <w:p>
            <w:pPr>
              <w:spacing w:line="360" w:lineRule="atLeast"/>
              <w:rPr>
                <w:color w:val="auto"/>
                <w:sz w:val="24"/>
              </w:rPr>
            </w:pPr>
            <w:r>
              <w:rPr>
                <w:color w:val="auto"/>
                <w:sz w:val="24"/>
              </w:rPr>
              <w:t>supports the position developed by the Opening Proposition team by introducing an extension;</w:t>
            </w:r>
          </w:p>
          <w:p>
            <w:pPr>
              <w:spacing w:line="360" w:lineRule="atLeast"/>
              <w:rPr>
                <w:color w:val="auto"/>
                <w:sz w:val="24"/>
              </w:rPr>
            </w:pPr>
            <w:r>
              <w:rPr>
                <w:color w:val="auto"/>
                <w:sz w:val="24"/>
              </w:rPr>
              <w:t>refutes the arguments made by the Deputy Leader of the Opposition.</w:t>
            </w:r>
          </w:p>
        </w:tc>
        <w:tc>
          <w:tcPr>
            <w:tcW w:w="1452" w:type="dxa"/>
            <w:vAlign w:val="center"/>
          </w:tcPr>
          <w:p>
            <w:pPr>
              <w:spacing w:line="360" w:lineRule="atLeast"/>
              <w:rPr>
                <w:color w:val="auto"/>
                <w:sz w:val="24"/>
              </w:rPr>
            </w:pPr>
            <w:r>
              <w:rPr>
                <w:b/>
                <w:color w:val="auto"/>
                <w:sz w:val="24"/>
              </w:rPr>
              <w:t>Member of the Opposition</w:t>
            </w:r>
          </w:p>
        </w:tc>
        <w:tc>
          <w:tcPr>
            <w:tcW w:w="3127" w:type="dxa"/>
            <w:vAlign w:val="center"/>
          </w:tcPr>
          <w:p>
            <w:pPr>
              <w:spacing w:line="360" w:lineRule="atLeast"/>
              <w:rPr>
                <w:color w:val="auto"/>
                <w:sz w:val="24"/>
              </w:rPr>
            </w:pPr>
            <w:r>
              <w:rPr>
                <w:color w:val="auto"/>
                <w:sz w:val="24"/>
              </w:rPr>
              <w:t>supports the position developed by the Opening Opposition team and introduces an extension； </w:t>
            </w:r>
          </w:p>
          <w:p>
            <w:pPr>
              <w:spacing w:line="360" w:lineRule="atLeast"/>
              <w:rPr>
                <w:color w:val="auto"/>
                <w:sz w:val="24"/>
              </w:rPr>
            </w:pPr>
            <w:r>
              <w:rPr>
                <w:color w:val="auto"/>
                <w:sz w:val="24"/>
              </w:rPr>
              <w:t>directly or indirectly refutes the arguments of the Member Proposition.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84" w:type="dxa"/>
            <w:vMerge w:val="continue"/>
            <w:vAlign w:val="center"/>
          </w:tcPr>
          <w:p>
            <w:pPr>
              <w:spacing w:line="360" w:lineRule="atLeast"/>
              <w:rPr>
                <w:color w:val="auto"/>
                <w:sz w:val="24"/>
              </w:rPr>
            </w:pPr>
          </w:p>
        </w:tc>
        <w:tc>
          <w:tcPr>
            <w:tcW w:w="1418" w:type="dxa"/>
            <w:vAlign w:val="center"/>
          </w:tcPr>
          <w:p>
            <w:pPr>
              <w:spacing w:line="360" w:lineRule="atLeast"/>
              <w:rPr>
                <w:color w:val="auto"/>
                <w:sz w:val="24"/>
              </w:rPr>
            </w:pPr>
            <w:r>
              <w:rPr>
                <w:b/>
                <w:color w:val="auto"/>
                <w:sz w:val="24"/>
              </w:rPr>
              <w:t>Proposition Whip</w:t>
            </w:r>
          </w:p>
        </w:tc>
        <w:tc>
          <w:tcPr>
            <w:tcW w:w="2375" w:type="dxa"/>
            <w:vAlign w:val="center"/>
          </w:tcPr>
          <w:p>
            <w:pPr>
              <w:spacing w:line="360" w:lineRule="atLeast"/>
              <w:rPr>
                <w:color w:val="auto"/>
                <w:sz w:val="24"/>
              </w:rPr>
            </w:pPr>
            <w:r>
              <w:rPr>
                <w:color w:val="auto"/>
                <w:sz w:val="24"/>
              </w:rPr>
              <w:t>Summarizes</w:t>
            </w:r>
            <w:r>
              <w:rPr>
                <w:rFonts w:hint="eastAsia"/>
                <w:color w:val="auto"/>
                <w:sz w:val="24"/>
              </w:rPr>
              <w:t xml:space="preserve"> </w:t>
            </w:r>
            <w:r>
              <w:rPr>
                <w:color w:val="auto"/>
                <w:sz w:val="24"/>
              </w:rPr>
              <w:t>the Proposition’s arguments and the refutation of the Opposition side. </w:t>
            </w:r>
          </w:p>
        </w:tc>
        <w:tc>
          <w:tcPr>
            <w:tcW w:w="1452" w:type="dxa"/>
            <w:vAlign w:val="center"/>
          </w:tcPr>
          <w:p>
            <w:pPr>
              <w:spacing w:line="360" w:lineRule="atLeast"/>
              <w:rPr>
                <w:color w:val="auto"/>
                <w:sz w:val="24"/>
              </w:rPr>
            </w:pPr>
            <w:r>
              <w:rPr>
                <w:b/>
                <w:color w:val="auto"/>
                <w:sz w:val="24"/>
              </w:rPr>
              <w:t>Opposition Whip</w:t>
            </w:r>
          </w:p>
        </w:tc>
        <w:tc>
          <w:tcPr>
            <w:tcW w:w="3127" w:type="dxa"/>
            <w:vAlign w:val="center"/>
          </w:tcPr>
          <w:p>
            <w:pPr>
              <w:spacing w:line="360" w:lineRule="atLeast"/>
              <w:rPr>
                <w:color w:val="auto"/>
                <w:sz w:val="24"/>
              </w:rPr>
            </w:pPr>
            <w:r>
              <w:rPr>
                <w:color w:val="auto"/>
                <w:sz w:val="24"/>
              </w:rPr>
              <w:t>summarizes opposition to the extension and makes reply to each team's position in the debate.</w:t>
            </w:r>
          </w:p>
        </w:tc>
      </w:tr>
    </w:tbl>
    <w:p>
      <w:pPr>
        <w:jc w:val="center"/>
        <w:rPr>
          <w:rFonts w:hint="eastAsia" w:ascii="仿宋_GB2312" w:eastAsia="仿宋_GB2312"/>
          <w:b/>
          <w:color w:val="auto"/>
          <w:sz w:val="30"/>
          <w:szCs w:val="30"/>
        </w:rPr>
      </w:pPr>
      <w:r>
        <w:rPr>
          <w:rFonts w:hAnsi="宋体"/>
          <w:b/>
          <w:color w:val="auto"/>
          <w:sz w:val="30"/>
          <w:szCs w:val="30"/>
        </w:rPr>
        <w:br w:type="page"/>
      </w:r>
      <w:r>
        <w:rPr>
          <w:rFonts w:hint="eastAsia" w:ascii="仿宋_GB2312" w:hAnsi="宋体" w:eastAsia="仿宋_GB2312"/>
          <w:b/>
          <w:color w:val="auto"/>
          <w:sz w:val="30"/>
          <w:szCs w:val="30"/>
        </w:rPr>
        <w:t>辩手职责</w:t>
      </w:r>
    </w:p>
    <w:p>
      <w:pPr>
        <w:spacing w:line="370" w:lineRule="exact"/>
        <w:ind w:firstLine="420" w:firstLineChars="200"/>
        <w:rPr>
          <w:color w:val="auto"/>
          <w:szCs w:val="21"/>
        </w:rPr>
      </w:pPr>
      <w:r>
        <w:rPr>
          <w:rFonts w:hAnsi="宋体"/>
          <w:color w:val="auto"/>
          <w:szCs w:val="21"/>
        </w:rPr>
        <w:t>每位辩手需在辩论中各司其职。除正反方最后一名辩手（内阁党鞭和反对党党鞭）外，所有的辩手都应引入新内容。除正方一辩（首相）外，所有辩手都应进行反驳。评委将根据各队论点的有力程度为各辩手评分，而不能单凭其完成自己职责的程度评分。</w:t>
      </w:r>
    </w:p>
    <w:tbl>
      <w:tblPr>
        <w:tblStyle w:val="6"/>
        <w:tblW w:w="97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417"/>
        <w:gridCol w:w="2835"/>
        <w:gridCol w:w="1276"/>
        <w:gridCol w:w="36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34" w:type="dxa"/>
            <w:vMerge w:val="restart"/>
            <w:vAlign w:val="center"/>
          </w:tcPr>
          <w:p>
            <w:pPr>
              <w:adjustRightInd w:val="0"/>
              <w:snapToGrid w:val="0"/>
              <w:spacing w:line="400" w:lineRule="atLeast"/>
              <w:rPr>
                <w:color w:val="auto"/>
                <w:szCs w:val="21"/>
              </w:rPr>
            </w:pPr>
          </w:p>
        </w:tc>
        <w:tc>
          <w:tcPr>
            <w:tcW w:w="4252" w:type="dxa"/>
            <w:gridSpan w:val="2"/>
            <w:vAlign w:val="center"/>
          </w:tcPr>
          <w:p>
            <w:pPr>
              <w:adjustRightInd w:val="0"/>
              <w:snapToGrid w:val="0"/>
              <w:spacing w:line="400" w:lineRule="atLeast"/>
              <w:ind w:firstLine="1260" w:firstLineChars="600"/>
              <w:rPr>
                <w:color w:val="auto"/>
                <w:szCs w:val="21"/>
              </w:rPr>
            </w:pPr>
            <w:r>
              <w:rPr>
                <w:rFonts w:hAnsi="宋体"/>
                <w:color w:val="auto"/>
                <w:szCs w:val="21"/>
              </w:rPr>
              <w:t>正</w:t>
            </w:r>
            <w:r>
              <w:rPr>
                <w:color w:val="auto"/>
                <w:szCs w:val="21"/>
              </w:rPr>
              <w:t xml:space="preserve">  </w:t>
            </w:r>
            <w:r>
              <w:rPr>
                <w:rFonts w:hAnsi="宋体"/>
                <w:color w:val="auto"/>
                <w:szCs w:val="21"/>
              </w:rPr>
              <w:t>方</w:t>
            </w:r>
          </w:p>
        </w:tc>
        <w:tc>
          <w:tcPr>
            <w:tcW w:w="4970" w:type="dxa"/>
            <w:gridSpan w:val="2"/>
            <w:vAlign w:val="center"/>
          </w:tcPr>
          <w:p>
            <w:pPr>
              <w:adjustRightInd w:val="0"/>
              <w:snapToGrid w:val="0"/>
              <w:spacing w:line="400" w:lineRule="atLeast"/>
              <w:ind w:firstLine="1260" w:firstLineChars="600"/>
              <w:rPr>
                <w:color w:val="auto"/>
                <w:szCs w:val="21"/>
              </w:rPr>
            </w:pPr>
            <w:r>
              <w:rPr>
                <w:rFonts w:hAnsi="宋体"/>
                <w:color w:val="auto"/>
                <w:szCs w:val="21"/>
              </w:rPr>
              <w:t>反</w:t>
            </w:r>
            <w:r>
              <w:rPr>
                <w:color w:val="auto"/>
                <w:szCs w:val="21"/>
              </w:rPr>
              <w:t xml:space="preserve">   </w:t>
            </w:r>
            <w:r>
              <w:rPr>
                <w:rFonts w:hAnsi="宋体"/>
                <w:color w:val="auto"/>
                <w:szCs w:val="21"/>
              </w:rPr>
              <w:t>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34" w:type="dxa"/>
            <w:vMerge w:val="continue"/>
            <w:vAlign w:val="center"/>
          </w:tcPr>
          <w:p>
            <w:pPr>
              <w:adjustRightInd w:val="0"/>
              <w:snapToGrid w:val="0"/>
              <w:spacing w:line="400" w:lineRule="atLeast"/>
              <w:rPr>
                <w:color w:val="auto"/>
                <w:szCs w:val="21"/>
              </w:rPr>
            </w:pPr>
          </w:p>
        </w:tc>
        <w:tc>
          <w:tcPr>
            <w:tcW w:w="1417" w:type="dxa"/>
            <w:vAlign w:val="center"/>
          </w:tcPr>
          <w:p>
            <w:pPr>
              <w:adjustRightInd w:val="0"/>
              <w:snapToGrid w:val="0"/>
              <w:spacing w:line="400" w:lineRule="atLeast"/>
              <w:ind w:firstLine="210" w:firstLineChars="100"/>
              <w:rPr>
                <w:b/>
                <w:color w:val="auto"/>
                <w:szCs w:val="21"/>
              </w:rPr>
            </w:pPr>
            <w:r>
              <w:rPr>
                <w:rFonts w:hAnsi="宋体"/>
                <w:b/>
                <w:color w:val="auto"/>
                <w:szCs w:val="21"/>
              </w:rPr>
              <w:t>辩手</w:t>
            </w:r>
          </w:p>
        </w:tc>
        <w:tc>
          <w:tcPr>
            <w:tcW w:w="2835" w:type="dxa"/>
            <w:vAlign w:val="center"/>
          </w:tcPr>
          <w:p>
            <w:pPr>
              <w:adjustRightInd w:val="0"/>
              <w:snapToGrid w:val="0"/>
              <w:spacing w:line="400" w:lineRule="atLeast"/>
              <w:ind w:firstLine="735" w:firstLineChars="350"/>
              <w:rPr>
                <w:color w:val="auto"/>
                <w:szCs w:val="21"/>
              </w:rPr>
            </w:pPr>
            <w:r>
              <w:rPr>
                <w:rFonts w:hAnsi="宋体"/>
                <w:color w:val="auto"/>
                <w:szCs w:val="21"/>
              </w:rPr>
              <w:t>职责</w:t>
            </w:r>
          </w:p>
        </w:tc>
        <w:tc>
          <w:tcPr>
            <w:tcW w:w="1276" w:type="dxa"/>
            <w:vAlign w:val="center"/>
          </w:tcPr>
          <w:p>
            <w:pPr>
              <w:adjustRightInd w:val="0"/>
              <w:snapToGrid w:val="0"/>
              <w:spacing w:line="400" w:lineRule="atLeast"/>
              <w:ind w:firstLine="210" w:firstLineChars="100"/>
              <w:rPr>
                <w:b/>
                <w:color w:val="auto"/>
                <w:szCs w:val="21"/>
              </w:rPr>
            </w:pPr>
            <w:r>
              <w:rPr>
                <w:rFonts w:hAnsi="宋体"/>
                <w:b/>
                <w:color w:val="auto"/>
                <w:szCs w:val="21"/>
              </w:rPr>
              <w:t>辩手</w:t>
            </w:r>
          </w:p>
        </w:tc>
        <w:tc>
          <w:tcPr>
            <w:tcW w:w="3694" w:type="dxa"/>
            <w:vAlign w:val="center"/>
          </w:tcPr>
          <w:p>
            <w:pPr>
              <w:adjustRightInd w:val="0"/>
              <w:snapToGrid w:val="0"/>
              <w:spacing w:line="400" w:lineRule="atLeast"/>
              <w:ind w:firstLine="1155" w:firstLineChars="550"/>
              <w:rPr>
                <w:color w:val="auto"/>
                <w:szCs w:val="21"/>
              </w:rPr>
            </w:pPr>
            <w:r>
              <w:rPr>
                <w:rFonts w:hAnsi="宋体"/>
                <w:color w:val="auto"/>
                <w:szCs w:val="21"/>
              </w:rPr>
              <w:t>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96" w:hRule="atLeast"/>
        </w:trPr>
        <w:tc>
          <w:tcPr>
            <w:tcW w:w="534" w:type="dxa"/>
            <w:vMerge w:val="restart"/>
            <w:vAlign w:val="center"/>
          </w:tcPr>
          <w:p>
            <w:pPr>
              <w:adjustRightInd w:val="0"/>
              <w:snapToGrid w:val="0"/>
              <w:spacing w:line="400" w:lineRule="atLeast"/>
              <w:rPr>
                <w:color w:val="auto"/>
                <w:szCs w:val="21"/>
              </w:rPr>
            </w:pPr>
            <w:r>
              <w:rPr>
                <w:rFonts w:hAnsi="宋体"/>
                <w:color w:val="auto"/>
                <w:szCs w:val="21"/>
              </w:rPr>
              <w:t>正反方一队</w:t>
            </w:r>
          </w:p>
        </w:tc>
        <w:tc>
          <w:tcPr>
            <w:tcW w:w="1417" w:type="dxa"/>
            <w:vAlign w:val="center"/>
          </w:tcPr>
          <w:p>
            <w:pPr>
              <w:adjustRightInd w:val="0"/>
              <w:snapToGrid w:val="0"/>
              <w:spacing w:line="400" w:lineRule="atLeast"/>
              <w:rPr>
                <w:b/>
                <w:color w:val="auto"/>
                <w:szCs w:val="21"/>
              </w:rPr>
            </w:pPr>
            <w:r>
              <w:rPr>
                <w:rFonts w:hAnsi="宋体"/>
                <w:b/>
                <w:color w:val="auto"/>
                <w:szCs w:val="21"/>
              </w:rPr>
              <w:t>正方一辩</w:t>
            </w:r>
          </w:p>
          <w:p>
            <w:pPr>
              <w:adjustRightInd w:val="0"/>
              <w:snapToGrid w:val="0"/>
              <w:spacing w:line="400" w:lineRule="atLeast"/>
              <w:rPr>
                <w:b/>
                <w:color w:val="auto"/>
                <w:szCs w:val="21"/>
              </w:rPr>
            </w:pPr>
            <w:r>
              <w:rPr>
                <w:rFonts w:hAnsi="宋体"/>
                <w:b/>
                <w:color w:val="auto"/>
                <w:szCs w:val="21"/>
              </w:rPr>
              <w:t>（首相）</w:t>
            </w:r>
          </w:p>
        </w:tc>
        <w:tc>
          <w:tcPr>
            <w:tcW w:w="2835" w:type="dxa"/>
            <w:vAlign w:val="center"/>
          </w:tcPr>
          <w:p>
            <w:pPr>
              <w:adjustRightInd w:val="0"/>
              <w:snapToGrid w:val="0"/>
              <w:spacing w:line="400" w:lineRule="atLeast"/>
              <w:rPr>
                <w:color w:val="auto"/>
                <w:szCs w:val="21"/>
              </w:rPr>
            </w:pPr>
            <w:r>
              <w:rPr>
                <w:rFonts w:hAnsi="宋体"/>
                <w:color w:val="auto"/>
                <w:szCs w:val="21"/>
              </w:rPr>
              <w:t>合理诠释辩题，下定义；</w:t>
            </w:r>
          </w:p>
          <w:p>
            <w:pPr>
              <w:adjustRightInd w:val="0"/>
              <w:snapToGrid w:val="0"/>
              <w:spacing w:line="400" w:lineRule="atLeast"/>
              <w:rPr>
                <w:color w:val="auto"/>
                <w:szCs w:val="21"/>
              </w:rPr>
            </w:pPr>
            <w:r>
              <w:rPr>
                <w:rFonts w:hAnsi="宋体"/>
                <w:color w:val="auto"/>
                <w:szCs w:val="21"/>
              </w:rPr>
              <w:t>给出支持该论点的一个或数个论据。</w:t>
            </w:r>
          </w:p>
        </w:tc>
        <w:tc>
          <w:tcPr>
            <w:tcW w:w="1276" w:type="dxa"/>
            <w:vAlign w:val="center"/>
          </w:tcPr>
          <w:p>
            <w:pPr>
              <w:adjustRightInd w:val="0"/>
              <w:snapToGrid w:val="0"/>
              <w:spacing w:line="400" w:lineRule="atLeast"/>
              <w:rPr>
                <w:b/>
                <w:color w:val="auto"/>
                <w:szCs w:val="21"/>
              </w:rPr>
            </w:pPr>
            <w:r>
              <w:rPr>
                <w:rFonts w:hAnsi="宋体"/>
                <w:b/>
                <w:color w:val="auto"/>
                <w:szCs w:val="21"/>
              </w:rPr>
              <w:t>反方一辩</w:t>
            </w:r>
            <w:r>
              <w:rPr>
                <w:rFonts w:hint="eastAsia"/>
                <w:b/>
                <w:color w:val="auto"/>
                <w:szCs w:val="21"/>
              </w:rPr>
              <w:t>（</w:t>
            </w:r>
            <w:r>
              <w:rPr>
                <w:rFonts w:hAnsi="宋体"/>
                <w:b/>
                <w:color w:val="auto"/>
                <w:szCs w:val="21"/>
              </w:rPr>
              <w:t>反对党</w:t>
            </w:r>
          </w:p>
          <w:p>
            <w:pPr>
              <w:adjustRightInd w:val="0"/>
              <w:snapToGrid w:val="0"/>
              <w:spacing w:line="400" w:lineRule="atLeast"/>
              <w:rPr>
                <w:b/>
                <w:color w:val="auto"/>
                <w:szCs w:val="21"/>
              </w:rPr>
            </w:pPr>
            <w:r>
              <w:rPr>
                <w:rFonts w:hAnsi="宋体"/>
                <w:b/>
                <w:color w:val="auto"/>
                <w:szCs w:val="21"/>
              </w:rPr>
              <w:t>领袖）</w:t>
            </w:r>
          </w:p>
        </w:tc>
        <w:tc>
          <w:tcPr>
            <w:tcW w:w="3694" w:type="dxa"/>
            <w:vAlign w:val="center"/>
          </w:tcPr>
          <w:p>
            <w:pPr>
              <w:adjustRightInd w:val="0"/>
              <w:snapToGrid w:val="0"/>
              <w:spacing w:line="400" w:lineRule="atLeast"/>
              <w:rPr>
                <w:color w:val="auto"/>
                <w:szCs w:val="21"/>
              </w:rPr>
            </w:pPr>
            <w:r>
              <w:rPr>
                <w:rFonts w:hAnsi="宋体"/>
                <w:color w:val="auto"/>
                <w:szCs w:val="21"/>
              </w:rPr>
              <w:t>直接或间接反驳正方部分或全部论点或论据；</w:t>
            </w:r>
          </w:p>
          <w:p>
            <w:pPr>
              <w:adjustRightInd w:val="0"/>
              <w:snapToGrid w:val="0"/>
              <w:spacing w:line="400" w:lineRule="atLeast"/>
              <w:rPr>
                <w:color w:val="auto"/>
                <w:szCs w:val="21"/>
              </w:rPr>
            </w:pPr>
            <w:r>
              <w:rPr>
                <w:rFonts w:hAnsi="宋体"/>
                <w:color w:val="auto"/>
                <w:szCs w:val="21"/>
              </w:rPr>
              <w:t>至少给出一个理由，阐明为何反对首相诠释的辩题。</w:t>
            </w:r>
          </w:p>
          <w:p>
            <w:pPr>
              <w:adjustRightInd w:val="0"/>
              <w:snapToGrid w:val="0"/>
              <w:spacing w:line="400" w:lineRule="atLeast"/>
              <w:rPr>
                <w:color w:val="auto"/>
                <w:szCs w:val="21"/>
              </w:rPr>
            </w:pPr>
            <w:r>
              <w:rPr>
                <w:rFonts w:hAnsi="宋体"/>
                <w:color w:val="auto"/>
                <w:szCs w:val="21"/>
              </w:rPr>
              <w:t>必要时</w:t>
            </w:r>
            <w:r>
              <w:rPr>
                <w:color w:val="auto"/>
                <w:szCs w:val="21"/>
              </w:rPr>
              <w:t>(</w:t>
            </w:r>
            <w:r>
              <w:rPr>
                <w:rFonts w:hAnsi="宋体"/>
                <w:color w:val="auto"/>
                <w:szCs w:val="21"/>
              </w:rPr>
              <w:t>如正方给出的定义完全不合理或严重影响辩论质量时</w:t>
            </w:r>
            <w:r>
              <w:rPr>
                <w:color w:val="auto"/>
                <w:szCs w:val="21"/>
              </w:rPr>
              <w:t>)</w:t>
            </w:r>
            <w:r>
              <w:rPr>
                <w:rFonts w:hAnsi="宋体"/>
                <w:color w:val="auto"/>
                <w:szCs w:val="21"/>
              </w:rPr>
              <w:t>，可以质疑正方给出的辩题定义。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23" w:hRule="atLeast"/>
        </w:trPr>
        <w:tc>
          <w:tcPr>
            <w:tcW w:w="534" w:type="dxa"/>
            <w:vMerge w:val="continue"/>
            <w:vAlign w:val="center"/>
          </w:tcPr>
          <w:p>
            <w:pPr>
              <w:adjustRightInd w:val="0"/>
              <w:snapToGrid w:val="0"/>
              <w:spacing w:line="400" w:lineRule="atLeast"/>
              <w:rPr>
                <w:color w:val="auto"/>
                <w:szCs w:val="21"/>
              </w:rPr>
            </w:pPr>
          </w:p>
        </w:tc>
        <w:tc>
          <w:tcPr>
            <w:tcW w:w="1417" w:type="dxa"/>
            <w:vAlign w:val="center"/>
          </w:tcPr>
          <w:p>
            <w:pPr>
              <w:adjustRightInd w:val="0"/>
              <w:snapToGrid w:val="0"/>
              <w:spacing w:line="400" w:lineRule="atLeast"/>
              <w:rPr>
                <w:b/>
                <w:color w:val="auto"/>
                <w:szCs w:val="21"/>
              </w:rPr>
            </w:pPr>
            <w:r>
              <w:rPr>
                <w:rFonts w:hAnsi="宋体"/>
                <w:b/>
                <w:color w:val="auto"/>
                <w:szCs w:val="21"/>
              </w:rPr>
              <w:t>正方二辩</w:t>
            </w:r>
          </w:p>
          <w:p>
            <w:pPr>
              <w:adjustRightInd w:val="0"/>
              <w:snapToGrid w:val="0"/>
              <w:spacing w:line="400" w:lineRule="atLeast"/>
              <w:rPr>
                <w:b/>
                <w:color w:val="auto"/>
                <w:szCs w:val="21"/>
              </w:rPr>
            </w:pPr>
            <w:r>
              <w:rPr>
                <w:rFonts w:hint="eastAsia" w:hAnsi="宋体"/>
                <w:b/>
                <w:color w:val="auto"/>
                <w:szCs w:val="21"/>
              </w:rPr>
              <w:t>（</w:t>
            </w:r>
            <w:r>
              <w:rPr>
                <w:rFonts w:hAnsi="宋体"/>
                <w:b/>
                <w:color w:val="auto"/>
                <w:szCs w:val="21"/>
              </w:rPr>
              <w:t>副首相）</w:t>
            </w:r>
          </w:p>
        </w:tc>
        <w:tc>
          <w:tcPr>
            <w:tcW w:w="2835" w:type="dxa"/>
            <w:vAlign w:val="center"/>
          </w:tcPr>
          <w:p>
            <w:pPr>
              <w:adjustRightInd w:val="0"/>
              <w:snapToGrid w:val="0"/>
              <w:spacing w:line="400" w:lineRule="atLeast"/>
              <w:rPr>
                <w:color w:val="auto"/>
                <w:szCs w:val="21"/>
              </w:rPr>
            </w:pPr>
            <w:r>
              <w:rPr>
                <w:rFonts w:hAnsi="宋体"/>
                <w:color w:val="auto"/>
                <w:szCs w:val="21"/>
              </w:rPr>
              <w:t>攻击反对党领袖对正方提出的反驳，并重新建立起正方论据；</w:t>
            </w:r>
          </w:p>
          <w:p>
            <w:pPr>
              <w:adjustRightInd w:val="0"/>
              <w:snapToGrid w:val="0"/>
              <w:spacing w:line="400" w:lineRule="atLeast"/>
              <w:rPr>
                <w:color w:val="auto"/>
                <w:szCs w:val="21"/>
              </w:rPr>
            </w:pPr>
            <w:r>
              <w:rPr>
                <w:rFonts w:hAnsi="宋体"/>
                <w:color w:val="auto"/>
                <w:szCs w:val="21"/>
              </w:rPr>
              <w:t>反驳反方提出的部分或所有论据；</w:t>
            </w:r>
          </w:p>
          <w:p>
            <w:pPr>
              <w:adjustRightInd w:val="0"/>
              <w:snapToGrid w:val="0"/>
              <w:spacing w:line="400" w:lineRule="atLeast"/>
              <w:rPr>
                <w:color w:val="auto"/>
                <w:szCs w:val="21"/>
              </w:rPr>
            </w:pPr>
            <w:r>
              <w:rPr>
                <w:rFonts w:hAnsi="宋体"/>
                <w:color w:val="auto"/>
                <w:szCs w:val="21"/>
              </w:rPr>
              <w:t>深入阐释正方论点论据。</w:t>
            </w:r>
          </w:p>
        </w:tc>
        <w:tc>
          <w:tcPr>
            <w:tcW w:w="1276" w:type="dxa"/>
            <w:vAlign w:val="center"/>
          </w:tcPr>
          <w:p>
            <w:pPr>
              <w:adjustRightInd w:val="0"/>
              <w:snapToGrid w:val="0"/>
              <w:spacing w:line="400" w:lineRule="atLeast"/>
              <w:rPr>
                <w:b/>
                <w:color w:val="auto"/>
                <w:szCs w:val="21"/>
              </w:rPr>
            </w:pPr>
            <w:r>
              <w:rPr>
                <w:rFonts w:hAnsi="宋体"/>
                <w:b/>
                <w:color w:val="auto"/>
                <w:szCs w:val="21"/>
              </w:rPr>
              <w:t>反方二辩（反对党</w:t>
            </w:r>
          </w:p>
          <w:p>
            <w:pPr>
              <w:adjustRightInd w:val="0"/>
              <w:snapToGrid w:val="0"/>
              <w:spacing w:line="400" w:lineRule="atLeast"/>
              <w:rPr>
                <w:b/>
                <w:color w:val="auto"/>
                <w:szCs w:val="21"/>
              </w:rPr>
            </w:pPr>
            <w:r>
              <w:rPr>
                <w:rFonts w:hAnsi="宋体"/>
                <w:b/>
                <w:color w:val="auto"/>
                <w:szCs w:val="21"/>
              </w:rPr>
              <w:t>副领袖）</w:t>
            </w:r>
          </w:p>
        </w:tc>
        <w:tc>
          <w:tcPr>
            <w:tcW w:w="3694" w:type="dxa"/>
            <w:vAlign w:val="center"/>
          </w:tcPr>
          <w:p>
            <w:pPr>
              <w:adjustRightInd w:val="0"/>
              <w:snapToGrid w:val="0"/>
              <w:spacing w:line="400" w:lineRule="atLeast"/>
              <w:rPr>
                <w:color w:val="auto"/>
                <w:szCs w:val="21"/>
              </w:rPr>
            </w:pPr>
            <w:r>
              <w:rPr>
                <w:rFonts w:hAnsi="宋体"/>
                <w:color w:val="auto"/>
                <w:szCs w:val="21"/>
              </w:rPr>
              <w:t>继续反驳正方论据；</w:t>
            </w:r>
          </w:p>
          <w:p>
            <w:pPr>
              <w:adjustRightInd w:val="0"/>
              <w:snapToGrid w:val="0"/>
              <w:spacing w:line="400" w:lineRule="atLeast"/>
              <w:rPr>
                <w:color w:val="auto"/>
                <w:szCs w:val="21"/>
              </w:rPr>
            </w:pPr>
            <w:r>
              <w:rPr>
                <w:rFonts w:hAnsi="宋体"/>
                <w:color w:val="auto"/>
                <w:szCs w:val="21"/>
              </w:rPr>
              <w:t>重申反对党领袖反对辩题的论据；</w:t>
            </w:r>
          </w:p>
          <w:p>
            <w:pPr>
              <w:adjustRightInd w:val="0"/>
              <w:snapToGrid w:val="0"/>
              <w:spacing w:line="400" w:lineRule="atLeast"/>
              <w:rPr>
                <w:color w:val="auto"/>
                <w:szCs w:val="21"/>
              </w:rPr>
            </w:pPr>
            <w:r>
              <w:rPr>
                <w:rFonts w:hAnsi="宋体"/>
                <w:color w:val="auto"/>
                <w:szCs w:val="21"/>
              </w:rPr>
              <w:t>继续阐释反方一队反对辩题的理由。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253" w:hRule="atLeast"/>
        </w:trPr>
        <w:tc>
          <w:tcPr>
            <w:tcW w:w="534" w:type="dxa"/>
            <w:vMerge w:val="restart"/>
            <w:vAlign w:val="center"/>
          </w:tcPr>
          <w:p>
            <w:pPr>
              <w:adjustRightInd w:val="0"/>
              <w:snapToGrid w:val="0"/>
              <w:spacing w:line="400" w:lineRule="atLeast"/>
              <w:rPr>
                <w:color w:val="auto"/>
                <w:szCs w:val="21"/>
              </w:rPr>
            </w:pPr>
            <w:r>
              <w:rPr>
                <w:rFonts w:hAnsi="宋体"/>
                <w:color w:val="auto"/>
                <w:szCs w:val="21"/>
              </w:rPr>
              <w:t>正反方二队</w:t>
            </w:r>
          </w:p>
        </w:tc>
        <w:tc>
          <w:tcPr>
            <w:tcW w:w="1417" w:type="dxa"/>
            <w:vAlign w:val="center"/>
          </w:tcPr>
          <w:p>
            <w:pPr>
              <w:adjustRightInd w:val="0"/>
              <w:snapToGrid w:val="0"/>
              <w:spacing w:line="400" w:lineRule="atLeast"/>
              <w:rPr>
                <w:b/>
                <w:color w:val="auto"/>
                <w:szCs w:val="21"/>
              </w:rPr>
            </w:pPr>
            <w:r>
              <w:rPr>
                <w:rFonts w:hAnsi="宋体"/>
                <w:b/>
                <w:color w:val="auto"/>
                <w:szCs w:val="21"/>
              </w:rPr>
              <w:t>正方三辩</w:t>
            </w:r>
          </w:p>
          <w:p>
            <w:pPr>
              <w:adjustRightInd w:val="0"/>
              <w:snapToGrid w:val="0"/>
              <w:spacing w:line="400" w:lineRule="atLeast"/>
              <w:rPr>
                <w:b/>
                <w:color w:val="auto"/>
                <w:szCs w:val="21"/>
              </w:rPr>
            </w:pPr>
            <w:r>
              <w:rPr>
                <w:rFonts w:hint="eastAsia" w:hAnsi="宋体"/>
                <w:b/>
                <w:color w:val="auto"/>
                <w:szCs w:val="21"/>
              </w:rPr>
              <w:t>（</w:t>
            </w:r>
            <w:r>
              <w:rPr>
                <w:rFonts w:hAnsi="宋体"/>
                <w:b/>
                <w:color w:val="auto"/>
                <w:szCs w:val="21"/>
              </w:rPr>
              <w:t>内阁成员）</w:t>
            </w:r>
          </w:p>
        </w:tc>
        <w:tc>
          <w:tcPr>
            <w:tcW w:w="2835" w:type="dxa"/>
            <w:vAlign w:val="center"/>
          </w:tcPr>
          <w:p>
            <w:pPr>
              <w:adjustRightInd w:val="0"/>
              <w:snapToGrid w:val="0"/>
              <w:spacing w:line="400" w:lineRule="atLeast"/>
              <w:rPr>
                <w:color w:val="auto"/>
                <w:szCs w:val="21"/>
              </w:rPr>
            </w:pPr>
            <w:r>
              <w:rPr>
                <w:rFonts w:hAnsi="宋体"/>
                <w:color w:val="auto"/>
                <w:szCs w:val="21"/>
              </w:rPr>
              <w:t>简要支持正方一队观点；</w:t>
            </w:r>
          </w:p>
          <w:p>
            <w:pPr>
              <w:adjustRightInd w:val="0"/>
              <w:snapToGrid w:val="0"/>
              <w:spacing w:line="400" w:lineRule="atLeast"/>
              <w:rPr>
                <w:color w:val="auto"/>
                <w:szCs w:val="21"/>
              </w:rPr>
            </w:pPr>
            <w:r>
              <w:rPr>
                <w:rFonts w:hAnsi="宋体"/>
                <w:color w:val="auto"/>
                <w:szCs w:val="21"/>
              </w:rPr>
              <w:t>阐释一个或数个独立的、与正方一队不重复的论点；</w:t>
            </w:r>
          </w:p>
        </w:tc>
        <w:tc>
          <w:tcPr>
            <w:tcW w:w="1276" w:type="dxa"/>
            <w:vAlign w:val="center"/>
          </w:tcPr>
          <w:p>
            <w:pPr>
              <w:adjustRightInd w:val="0"/>
              <w:snapToGrid w:val="0"/>
              <w:spacing w:line="400" w:lineRule="atLeast"/>
              <w:rPr>
                <w:b/>
                <w:color w:val="auto"/>
                <w:szCs w:val="21"/>
              </w:rPr>
            </w:pPr>
            <w:r>
              <w:rPr>
                <w:rFonts w:hAnsi="宋体"/>
                <w:b/>
                <w:color w:val="auto"/>
                <w:szCs w:val="21"/>
              </w:rPr>
              <w:t>反方三辩（反对党</w:t>
            </w:r>
          </w:p>
          <w:p>
            <w:pPr>
              <w:adjustRightInd w:val="0"/>
              <w:snapToGrid w:val="0"/>
              <w:spacing w:line="400" w:lineRule="atLeast"/>
              <w:rPr>
                <w:b/>
                <w:color w:val="auto"/>
                <w:szCs w:val="21"/>
              </w:rPr>
            </w:pPr>
            <w:r>
              <w:rPr>
                <w:rFonts w:hAnsi="宋体"/>
                <w:b/>
                <w:color w:val="auto"/>
                <w:szCs w:val="21"/>
              </w:rPr>
              <w:t>成员）</w:t>
            </w:r>
          </w:p>
        </w:tc>
        <w:tc>
          <w:tcPr>
            <w:tcW w:w="3694" w:type="dxa"/>
            <w:vAlign w:val="center"/>
          </w:tcPr>
          <w:p>
            <w:pPr>
              <w:adjustRightInd w:val="0"/>
              <w:snapToGrid w:val="0"/>
              <w:spacing w:line="400" w:lineRule="atLeast"/>
              <w:rPr>
                <w:color w:val="auto"/>
                <w:szCs w:val="21"/>
              </w:rPr>
            </w:pPr>
            <w:r>
              <w:rPr>
                <w:rFonts w:hAnsi="宋体"/>
                <w:color w:val="auto"/>
                <w:szCs w:val="21"/>
              </w:rPr>
              <w:t>简要支持反方一队观点；</w:t>
            </w:r>
          </w:p>
          <w:p>
            <w:pPr>
              <w:adjustRightInd w:val="0"/>
              <w:snapToGrid w:val="0"/>
              <w:spacing w:line="400" w:lineRule="atLeast"/>
              <w:rPr>
                <w:color w:val="auto"/>
                <w:szCs w:val="21"/>
              </w:rPr>
            </w:pPr>
            <w:r>
              <w:rPr>
                <w:rFonts w:hAnsi="宋体"/>
                <w:color w:val="auto"/>
                <w:szCs w:val="21"/>
              </w:rPr>
              <w:t>直接或间接反驳内阁成员引入的新论点；</w:t>
            </w:r>
          </w:p>
          <w:p>
            <w:pPr>
              <w:adjustRightInd w:val="0"/>
              <w:snapToGrid w:val="0"/>
              <w:spacing w:line="400" w:lineRule="atLeast"/>
              <w:rPr>
                <w:color w:val="auto"/>
                <w:szCs w:val="21"/>
              </w:rPr>
            </w:pPr>
            <w:r>
              <w:rPr>
                <w:rFonts w:hAnsi="宋体"/>
                <w:color w:val="auto"/>
                <w:szCs w:val="21"/>
              </w:rPr>
              <w:t>阐释一个或数个独立的、与反方一队不重复的论点。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555" w:hRule="atLeast"/>
        </w:trPr>
        <w:tc>
          <w:tcPr>
            <w:tcW w:w="534" w:type="dxa"/>
            <w:vMerge w:val="continue"/>
            <w:vAlign w:val="center"/>
          </w:tcPr>
          <w:p>
            <w:pPr>
              <w:adjustRightInd w:val="0"/>
              <w:snapToGrid w:val="0"/>
              <w:spacing w:line="400" w:lineRule="atLeast"/>
              <w:rPr>
                <w:color w:val="auto"/>
                <w:szCs w:val="21"/>
              </w:rPr>
            </w:pPr>
          </w:p>
        </w:tc>
        <w:tc>
          <w:tcPr>
            <w:tcW w:w="1417" w:type="dxa"/>
            <w:vAlign w:val="center"/>
          </w:tcPr>
          <w:p>
            <w:pPr>
              <w:adjustRightInd w:val="0"/>
              <w:snapToGrid w:val="0"/>
              <w:spacing w:line="400" w:lineRule="atLeast"/>
              <w:rPr>
                <w:b/>
                <w:color w:val="auto"/>
                <w:szCs w:val="21"/>
                <w:highlight w:val="none"/>
              </w:rPr>
            </w:pPr>
            <w:r>
              <w:rPr>
                <w:rFonts w:hAnsi="宋体"/>
                <w:b/>
                <w:color w:val="auto"/>
                <w:szCs w:val="21"/>
                <w:highlight w:val="none"/>
              </w:rPr>
              <w:t>正方四辩</w:t>
            </w:r>
          </w:p>
          <w:p>
            <w:pPr>
              <w:adjustRightInd w:val="0"/>
              <w:snapToGrid w:val="0"/>
              <w:spacing w:line="400" w:lineRule="atLeast"/>
              <w:rPr>
                <w:b/>
                <w:color w:val="auto"/>
                <w:szCs w:val="21"/>
                <w:highlight w:val="none"/>
              </w:rPr>
            </w:pPr>
            <w:r>
              <w:rPr>
                <w:rFonts w:hint="eastAsia"/>
                <w:b/>
                <w:color w:val="auto"/>
                <w:szCs w:val="21"/>
                <w:highlight w:val="none"/>
              </w:rPr>
              <w:t>（</w:t>
            </w:r>
            <w:r>
              <w:rPr>
                <w:rFonts w:hAnsi="宋体"/>
                <w:b/>
                <w:color w:val="auto"/>
                <w:szCs w:val="21"/>
                <w:highlight w:val="none"/>
              </w:rPr>
              <w:t>内阁党鞭）</w:t>
            </w:r>
          </w:p>
        </w:tc>
        <w:tc>
          <w:tcPr>
            <w:tcW w:w="2835" w:type="dxa"/>
            <w:vAlign w:val="center"/>
          </w:tcPr>
          <w:p>
            <w:pPr>
              <w:adjustRightInd w:val="0"/>
              <w:snapToGrid w:val="0"/>
              <w:spacing w:line="400" w:lineRule="atLeast"/>
              <w:rPr>
                <w:color w:val="auto"/>
                <w:szCs w:val="21"/>
                <w:highlight w:val="none"/>
              </w:rPr>
            </w:pPr>
            <w:r>
              <w:rPr>
                <w:rFonts w:hAnsi="宋体"/>
                <w:color w:val="auto"/>
                <w:szCs w:val="21"/>
                <w:highlight w:val="none"/>
              </w:rPr>
              <w:t>维护政府成员提出的新论点；</w:t>
            </w:r>
          </w:p>
          <w:p>
            <w:pPr>
              <w:adjustRightInd w:val="0"/>
              <w:snapToGrid w:val="0"/>
              <w:spacing w:line="400" w:lineRule="atLeast"/>
              <w:rPr>
                <w:color w:val="auto"/>
                <w:szCs w:val="21"/>
                <w:highlight w:val="none"/>
              </w:rPr>
            </w:pPr>
            <w:r>
              <w:rPr>
                <w:rFonts w:hAnsi="宋体"/>
                <w:color w:val="auto"/>
                <w:szCs w:val="21"/>
                <w:highlight w:val="none"/>
              </w:rPr>
              <w:t>回应</w:t>
            </w:r>
            <w:bookmarkStart w:id="0" w:name="_GoBack"/>
            <w:bookmarkEnd w:id="0"/>
            <w:r>
              <w:rPr>
                <w:rFonts w:hAnsi="宋体"/>
                <w:color w:val="auto"/>
                <w:szCs w:val="21"/>
                <w:highlight w:val="none"/>
              </w:rPr>
              <w:t>反对党成员提出的新论点；</w:t>
            </w:r>
          </w:p>
          <w:p>
            <w:pPr>
              <w:adjustRightInd w:val="0"/>
              <w:snapToGrid w:val="0"/>
              <w:spacing w:line="400" w:lineRule="atLeast"/>
              <w:rPr>
                <w:color w:val="auto"/>
                <w:szCs w:val="21"/>
                <w:highlight w:val="none"/>
              </w:rPr>
            </w:pPr>
            <w:r>
              <w:rPr>
                <w:rFonts w:hAnsi="宋体"/>
                <w:color w:val="auto"/>
                <w:szCs w:val="21"/>
                <w:highlight w:val="none"/>
              </w:rPr>
              <w:t>从正方（特别是正方二队）的角度总结整场辩论。</w:t>
            </w:r>
          </w:p>
        </w:tc>
        <w:tc>
          <w:tcPr>
            <w:tcW w:w="1276" w:type="dxa"/>
            <w:vAlign w:val="center"/>
          </w:tcPr>
          <w:p>
            <w:pPr>
              <w:adjustRightInd w:val="0"/>
              <w:snapToGrid w:val="0"/>
              <w:spacing w:line="400" w:lineRule="atLeast"/>
              <w:rPr>
                <w:b/>
                <w:color w:val="auto"/>
                <w:szCs w:val="21"/>
                <w:highlight w:val="none"/>
              </w:rPr>
            </w:pPr>
            <w:r>
              <w:rPr>
                <w:rFonts w:hAnsi="宋体"/>
                <w:b/>
                <w:color w:val="auto"/>
                <w:szCs w:val="21"/>
                <w:highlight w:val="none"/>
              </w:rPr>
              <w:t>反方四辩（反对党</w:t>
            </w:r>
          </w:p>
          <w:p>
            <w:pPr>
              <w:adjustRightInd w:val="0"/>
              <w:snapToGrid w:val="0"/>
              <w:spacing w:line="400" w:lineRule="atLeast"/>
              <w:rPr>
                <w:b/>
                <w:color w:val="auto"/>
                <w:szCs w:val="21"/>
                <w:highlight w:val="none"/>
              </w:rPr>
            </w:pPr>
            <w:r>
              <w:rPr>
                <w:rFonts w:hAnsi="宋体"/>
                <w:b/>
                <w:color w:val="auto"/>
                <w:szCs w:val="21"/>
                <w:highlight w:val="none"/>
              </w:rPr>
              <w:t>党鞭）</w:t>
            </w:r>
          </w:p>
        </w:tc>
        <w:tc>
          <w:tcPr>
            <w:tcW w:w="3694" w:type="dxa"/>
            <w:vAlign w:val="center"/>
          </w:tcPr>
          <w:p>
            <w:pPr>
              <w:adjustRightInd w:val="0"/>
              <w:snapToGrid w:val="0"/>
              <w:spacing w:line="400" w:lineRule="atLeast"/>
              <w:rPr>
                <w:color w:val="auto"/>
                <w:szCs w:val="21"/>
                <w:highlight w:val="none"/>
              </w:rPr>
            </w:pPr>
            <w:r>
              <w:rPr>
                <w:rFonts w:hAnsi="宋体"/>
                <w:color w:val="auto"/>
                <w:szCs w:val="21"/>
                <w:highlight w:val="none"/>
              </w:rPr>
              <w:t>维护反对党成员提出的新论点；</w:t>
            </w:r>
          </w:p>
          <w:p>
            <w:pPr>
              <w:adjustRightInd w:val="0"/>
              <w:snapToGrid w:val="0"/>
              <w:spacing w:line="400" w:lineRule="atLeast"/>
              <w:rPr>
                <w:color w:val="auto"/>
                <w:szCs w:val="21"/>
                <w:highlight w:val="none"/>
              </w:rPr>
            </w:pPr>
            <w:r>
              <w:rPr>
                <w:rFonts w:hAnsi="宋体"/>
                <w:color w:val="auto"/>
                <w:szCs w:val="21"/>
                <w:highlight w:val="none"/>
              </w:rPr>
              <w:t>回应政府成员提出的新论点；</w:t>
            </w:r>
          </w:p>
          <w:p>
            <w:pPr>
              <w:adjustRightInd w:val="0"/>
              <w:snapToGrid w:val="0"/>
              <w:spacing w:line="400" w:lineRule="atLeast"/>
              <w:rPr>
                <w:color w:val="auto"/>
                <w:szCs w:val="21"/>
                <w:highlight w:val="none"/>
              </w:rPr>
            </w:pPr>
            <w:r>
              <w:rPr>
                <w:rFonts w:hAnsi="宋体"/>
                <w:color w:val="auto"/>
                <w:szCs w:val="21"/>
                <w:highlight w:val="none"/>
              </w:rPr>
              <w:t>从反方（特别是反方二队）的角度总结整场辩论。</w:t>
            </w:r>
          </w:p>
          <w:p>
            <w:pPr>
              <w:adjustRightInd w:val="0"/>
              <w:snapToGrid w:val="0"/>
              <w:spacing w:line="400" w:lineRule="atLeast"/>
              <w:rPr>
                <w:color w:val="auto"/>
                <w:szCs w:val="21"/>
                <w:highlight w:val="none"/>
              </w:rPr>
            </w:pPr>
          </w:p>
        </w:tc>
      </w:tr>
    </w:tbl>
    <w:p>
      <w:pPr>
        <w:outlineLvl w:val="0"/>
        <w:rPr>
          <w:b/>
          <w:color w:val="auto"/>
          <w:sz w:val="28"/>
          <w:szCs w:val="28"/>
        </w:rPr>
      </w:pPr>
    </w:p>
    <w:p>
      <w:pPr>
        <w:jc w:val="center"/>
        <w:outlineLvl w:val="0"/>
        <w:rPr>
          <w:rFonts w:hint="eastAsia"/>
          <w:b/>
          <w:bCs/>
          <w:color w:val="auto"/>
          <w:kern w:val="0"/>
          <w:sz w:val="28"/>
          <w:szCs w:val="28"/>
        </w:rPr>
      </w:pPr>
      <w:r>
        <w:rPr>
          <w:b/>
          <w:color w:val="auto"/>
          <w:sz w:val="28"/>
          <w:szCs w:val="28"/>
        </w:rPr>
        <w:br w:type="page"/>
      </w:r>
      <w:r>
        <w:rPr>
          <w:b/>
          <w:bCs/>
          <w:color w:val="auto"/>
          <w:kern w:val="0"/>
          <w:sz w:val="28"/>
          <w:szCs w:val="28"/>
        </w:rPr>
        <w:t>Speaker Points Guidelines</w:t>
      </w:r>
    </w:p>
    <w:p>
      <w:pPr>
        <w:spacing w:line="320" w:lineRule="exact"/>
        <w:ind w:firstLine="315" w:firstLineChars="150"/>
        <w:rPr>
          <w:color w:val="auto"/>
          <w:szCs w:val="21"/>
        </w:rPr>
      </w:pPr>
      <w:r>
        <w:rPr>
          <w:color w:val="auto"/>
          <w:szCs w:val="21"/>
        </w:rPr>
        <w:t xml:space="preserve">Teams should be ranked on the basis of their </w:t>
      </w:r>
      <w:r>
        <w:rPr>
          <w:b/>
          <w:color w:val="auto"/>
          <w:szCs w:val="21"/>
        </w:rPr>
        <w:t>matter and manner</w:t>
      </w:r>
      <w:r>
        <w:rPr>
          <w:color w:val="auto"/>
          <w:szCs w:val="21"/>
        </w:rPr>
        <w:t xml:space="preserve">. </w:t>
      </w:r>
    </w:p>
    <w:p>
      <w:pPr>
        <w:spacing w:line="320" w:lineRule="exact"/>
        <w:ind w:firstLine="315" w:firstLineChars="150"/>
        <w:rPr>
          <w:color w:val="auto"/>
          <w:szCs w:val="21"/>
        </w:rPr>
      </w:pPr>
      <w:r>
        <w:rPr>
          <w:b/>
          <w:color w:val="auto"/>
          <w:szCs w:val="21"/>
        </w:rPr>
        <w:t xml:space="preserve">Matter </w:t>
      </w:r>
      <w:r>
        <w:rPr>
          <w:color w:val="auto"/>
          <w:szCs w:val="21"/>
        </w:rPr>
        <w:t>refers to the content and substance of a team’s arguments. Matter includes arguments and reasoning, evidence, examples, case studies, facts, statistics and any other material that a team uses to further the case. Matter includes both positive (or substantive) material and refutation (arguments specifically aimed to counter the arguments of the opposing team(s)).</w:t>
      </w:r>
      <w:r>
        <w:rPr>
          <w:color w:val="auto"/>
          <w:szCs w:val="21"/>
        </w:rPr>
        <w:br w:type="textWrapping"/>
      </w:r>
      <w:r>
        <w:rPr>
          <w:color w:val="auto"/>
          <w:szCs w:val="21"/>
        </w:rPr>
        <w:t xml:space="preserve">   Matter should be relevant, logical and consistent. It should relate to the issues of the debate: positive material should support the case being presented and refutation should engage the material presented by the opposing team(s). Arguments should be developed logically in order to be clear and well reasoned and therefore plausible. The conclusion of all arguments should support the member’s case. Members should ensure that the matter they present is consistent within their speech, their team and the remainder of the members on their side of the debate. All members should present positive matter (except the final two members in the debate) and all members should engage in refutation (except the first member in the debate). The Government Whip may choose to present positive matter if it is relevant to refuting the Member of the Opposition’s extension.</w:t>
      </w:r>
    </w:p>
    <w:p>
      <w:pPr>
        <w:spacing w:line="320" w:lineRule="exact"/>
        <w:ind w:firstLine="315" w:firstLineChars="150"/>
        <w:rPr>
          <w:color w:val="auto"/>
          <w:szCs w:val="21"/>
        </w:rPr>
      </w:pPr>
      <w:r>
        <w:rPr>
          <w:b/>
          <w:color w:val="auto"/>
          <w:szCs w:val="21"/>
        </w:rPr>
        <w:t>Manner</w:t>
      </w:r>
      <w:r>
        <w:rPr>
          <w:color w:val="auto"/>
          <w:szCs w:val="21"/>
        </w:rPr>
        <w:t xml:space="preserve"> refers to the strategy and presentation of a team’s arguments. Manner includes elements such as argument choice, speech structure, vocal and physical delivery, use of POIs, and so forth.  </w:t>
      </w:r>
      <w:r>
        <w:rPr>
          <w:color w:val="auto"/>
          <w:szCs w:val="21"/>
        </w:rPr>
        <w:br w:type="textWrapping"/>
      </w:r>
      <w:r>
        <w:rPr>
          <w:color w:val="auto"/>
          <w:szCs w:val="21"/>
        </w:rPr>
        <w:t xml:space="preserve">   Manner should enhance the team’s effort to prove or disprove the motion and should be compelling. To enhance their effort, the team should appropriately prioritize and apportion time to the dynamic issues of the debate, present their arguments in an order that is clear and logical, engage the arguments of the opposing side through direct or indirect refutation. Compelling manner is that which presents the material in a way that demonstrates a concern for vocal and physical presentation. Compelling teams deliver arguments with appropriate levels of passion, present their material in a way that attends to appropriate vocal and physical delivery, and avoid behaviors that detract from the force and effectiveness of their arguments.</w:t>
      </w:r>
      <w:r>
        <w:rPr>
          <w:color w:val="auto"/>
          <w:szCs w:val="21"/>
        </w:rPr>
        <w:br w:type="textWrapping"/>
      </w:r>
      <w:r>
        <w:rPr>
          <w:color w:val="auto"/>
          <w:szCs w:val="21"/>
        </w:rPr>
        <w:t xml:space="preserve">   This description of matter and manner is necessarily incomplete. The adjudication panel should assess the totality of each team’s efforts (including, but not limited to, matter and manner) to achieve a just and fair decision. </w:t>
      </w:r>
      <w:r>
        <w:rPr>
          <w:color w:val="auto"/>
          <w:szCs w:val="21"/>
        </w:rPr>
        <w:br w:type="textWrapping"/>
      </w:r>
      <w:r>
        <w:rPr>
          <w:color w:val="auto"/>
          <w:szCs w:val="21"/>
        </w:rPr>
        <w:t xml:space="preserve">   After the adjudicators have agreed upon the ranking for each team, the panel should determine the speaker scores for each debater.  Individual speaker scores should be assigned as follows, where a score of 75 would reflect an average effort at the tournament. </w:t>
      </w:r>
    </w:p>
    <w:tbl>
      <w:tblPr>
        <w:tblStyle w:val="6"/>
        <w:tblW w:w="9311" w:type="dxa"/>
        <w:jc w:val="center"/>
        <w:tblCellSpacing w:w="7" w:type="dxa"/>
        <w:tblInd w:w="0" w:type="dxa"/>
        <w:shd w:val="clear" w:color="auto" w:fill="CCCCCC"/>
        <w:tblLayout w:type="fixed"/>
        <w:tblCellMar>
          <w:top w:w="30" w:type="dxa"/>
          <w:left w:w="30" w:type="dxa"/>
          <w:bottom w:w="30" w:type="dxa"/>
          <w:right w:w="30" w:type="dxa"/>
        </w:tblCellMar>
      </w:tblPr>
      <w:tblGrid>
        <w:gridCol w:w="814"/>
        <w:gridCol w:w="8497"/>
      </w:tblGrid>
      <w:tr>
        <w:tblPrEx>
          <w:shd w:val="clear" w:color="auto" w:fill="CCCCCC"/>
          <w:tblLayout w:type="fixed"/>
          <w:tblCellMar>
            <w:top w:w="30" w:type="dxa"/>
            <w:left w:w="30" w:type="dxa"/>
            <w:bottom w:w="30" w:type="dxa"/>
            <w:right w:w="30" w:type="dxa"/>
          </w:tblCellMar>
        </w:tblPrEx>
        <w:trPr>
          <w:tblCellSpacing w:w="7" w:type="dxa"/>
          <w:jc w:val="center"/>
        </w:trPr>
        <w:tc>
          <w:tcPr>
            <w:tcW w:w="793" w:type="dxa"/>
            <w:shd w:val="clear" w:color="auto" w:fill="FFFFFF"/>
            <w:vAlign w:val="center"/>
          </w:tcPr>
          <w:p>
            <w:pPr>
              <w:spacing w:line="320" w:lineRule="exact"/>
              <w:rPr>
                <w:color w:val="auto"/>
                <w:szCs w:val="21"/>
              </w:rPr>
            </w:pPr>
            <w:r>
              <w:rPr>
                <w:color w:val="auto"/>
                <w:szCs w:val="21"/>
              </w:rPr>
              <w:t>Points</w:t>
            </w:r>
          </w:p>
        </w:tc>
        <w:tc>
          <w:tcPr>
            <w:tcW w:w="8476" w:type="dxa"/>
            <w:shd w:val="clear" w:color="auto" w:fill="FFFFFF"/>
            <w:vAlign w:val="center"/>
          </w:tcPr>
          <w:p>
            <w:pPr>
              <w:spacing w:line="320" w:lineRule="exact"/>
              <w:rPr>
                <w:color w:val="auto"/>
                <w:szCs w:val="21"/>
              </w:rPr>
            </w:pPr>
            <w:r>
              <w:rPr>
                <w:color w:val="auto"/>
                <w:szCs w:val="21"/>
              </w:rPr>
              <w:t>Meaning</w:t>
            </w:r>
          </w:p>
        </w:tc>
      </w:tr>
      <w:tr>
        <w:tblPrEx>
          <w:tblLayout w:type="fixed"/>
          <w:tblCellMar>
            <w:top w:w="30" w:type="dxa"/>
            <w:left w:w="30" w:type="dxa"/>
            <w:bottom w:w="30" w:type="dxa"/>
            <w:right w:w="30" w:type="dxa"/>
          </w:tblCellMar>
        </w:tblPrEx>
        <w:trPr>
          <w:tblCellSpacing w:w="7" w:type="dxa"/>
          <w:jc w:val="center"/>
        </w:trPr>
        <w:tc>
          <w:tcPr>
            <w:tcW w:w="793" w:type="dxa"/>
            <w:shd w:val="clear" w:color="auto" w:fill="FFFFFF"/>
            <w:vAlign w:val="center"/>
          </w:tcPr>
          <w:p>
            <w:pPr>
              <w:spacing w:line="320" w:lineRule="exact"/>
              <w:rPr>
                <w:color w:val="auto"/>
                <w:szCs w:val="21"/>
              </w:rPr>
            </w:pPr>
            <w:r>
              <w:rPr>
                <w:color w:val="auto"/>
                <w:szCs w:val="21"/>
              </w:rPr>
              <w:t xml:space="preserve">90-100 </w:t>
            </w:r>
          </w:p>
        </w:tc>
        <w:tc>
          <w:tcPr>
            <w:tcW w:w="8476" w:type="dxa"/>
            <w:shd w:val="clear" w:color="auto" w:fill="FFFFFF"/>
            <w:vAlign w:val="center"/>
          </w:tcPr>
          <w:p>
            <w:pPr>
              <w:spacing w:line="320" w:lineRule="exact"/>
              <w:rPr>
                <w:color w:val="auto"/>
                <w:szCs w:val="21"/>
              </w:rPr>
            </w:pPr>
            <w:r>
              <w:rPr>
                <w:color w:val="auto"/>
                <w:szCs w:val="21"/>
              </w:rPr>
              <w:t>Excellent to flawless. The standard of speech you would expect to see from a speaker at the Grand Final level of the tournament. The speaker has many strengths and few, if any, weaknesses.</w:t>
            </w:r>
          </w:p>
        </w:tc>
      </w:tr>
      <w:tr>
        <w:tblPrEx>
          <w:tblLayout w:type="fixed"/>
          <w:tblCellMar>
            <w:top w:w="30" w:type="dxa"/>
            <w:left w:w="30" w:type="dxa"/>
            <w:bottom w:w="30" w:type="dxa"/>
            <w:right w:w="30" w:type="dxa"/>
          </w:tblCellMar>
        </w:tblPrEx>
        <w:trPr>
          <w:tblCellSpacing w:w="7" w:type="dxa"/>
          <w:jc w:val="center"/>
        </w:trPr>
        <w:tc>
          <w:tcPr>
            <w:tcW w:w="793" w:type="dxa"/>
            <w:shd w:val="clear" w:color="auto" w:fill="FFFFFF"/>
            <w:vAlign w:val="center"/>
          </w:tcPr>
          <w:p>
            <w:pPr>
              <w:spacing w:line="320" w:lineRule="exact"/>
              <w:rPr>
                <w:color w:val="auto"/>
                <w:szCs w:val="21"/>
              </w:rPr>
            </w:pPr>
            <w:r>
              <w:rPr>
                <w:color w:val="auto"/>
                <w:szCs w:val="21"/>
              </w:rPr>
              <w:t xml:space="preserve">80-89 </w:t>
            </w:r>
          </w:p>
        </w:tc>
        <w:tc>
          <w:tcPr>
            <w:tcW w:w="8476" w:type="dxa"/>
            <w:shd w:val="clear" w:color="auto" w:fill="FFFFFF"/>
            <w:vAlign w:val="center"/>
          </w:tcPr>
          <w:p>
            <w:pPr>
              <w:spacing w:line="320" w:lineRule="exact"/>
              <w:rPr>
                <w:color w:val="auto"/>
                <w:szCs w:val="21"/>
              </w:rPr>
            </w:pPr>
            <w:r>
              <w:rPr>
                <w:color w:val="auto"/>
                <w:szCs w:val="21"/>
              </w:rPr>
              <w:t>Above average to very good. The standard you would expect to see from a speaker at the semi finals level or in contention to make to the finals. The speaker has clear strengths and some minor weaknesses.</w:t>
            </w:r>
          </w:p>
        </w:tc>
      </w:tr>
      <w:tr>
        <w:tblPrEx>
          <w:tblLayout w:type="fixed"/>
          <w:tblCellMar>
            <w:top w:w="30" w:type="dxa"/>
            <w:left w:w="30" w:type="dxa"/>
            <w:bottom w:w="30" w:type="dxa"/>
            <w:right w:w="30" w:type="dxa"/>
          </w:tblCellMar>
        </w:tblPrEx>
        <w:trPr>
          <w:tblCellSpacing w:w="7" w:type="dxa"/>
          <w:jc w:val="center"/>
        </w:trPr>
        <w:tc>
          <w:tcPr>
            <w:tcW w:w="793" w:type="dxa"/>
            <w:shd w:val="clear" w:color="auto" w:fill="FFFFFF"/>
            <w:vAlign w:val="center"/>
          </w:tcPr>
          <w:p>
            <w:pPr>
              <w:spacing w:line="320" w:lineRule="exact"/>
              <w:rPr>
                <w:color w:val="auto"/>
                <w:szCs w:val="21"/>
              </w:rPr>
            </w:pPr>
            <w:r>
              <w:rPr>
                <w:color w:val="auto"/>
                <w:szCs w:val="21"/>
              </w:rPr>
              <w:t xml:space="preserve">70-79 </w:t>
            </w:r>
          </w:p>
        </w:tc>
        <w:tc>
          <w:tcPr>
            <w:tcW w:w="8476" w:type="dxa"/>
            <w:shd w:val="clear" w:color="auto" w:fill="FFFFFF"/>
            <w:vAlign w:val="center"/>
          </w:tcPr>
          <w:p>
            <w:pPr>
              <w:spacing w:line="320" w:lineRule="exact"/>
              <w:rPr>
                <w:color w:val="auto"/>
                <w:szCs w:val="21"/>
              </w:rPr>
            </w:pPr>
            <w:r>
              <w:rPr>
                <w:color w:val="auto"/>
                <w:szCs w:val="21"/>
              </w:rPr>
              <w:t>Average. The speaker has strengths and weaknesses and roughly equal proportions.</w:t>
            </w:r>
          </w:p>
        </w:tc>
      </w:tr>
      <w:tr>
        <w:tblPrEx>
          <w:tblLayout w:type="fixed"/>
          <w:tblCellMar>
            <w:top w:w="30" w:type="dxa"/>
            <w:left w:w="30" w:type="dxa"/>
            <w:bottom w:w="30" w:type="dxa"/>
            <w:right w:w="30" w:type="dxa"/>
          </w:tblCellMar>
        </w:tblPrEx>
        <w:trPr>
          <w:tblCellSpacing w:w="7" w:type="dxa"/>
          <w:jc w:val="center"/>
        </w:trPr>
        <w:tc>
          <w:tcPr>
            <w:tcW w:w="793" w:type="dxa"/>
            <w:shd w:val="clear" w:color="auto" w:fill="FFFFFF"/>
            <w:vAlign w:val="center"/>
          </w:tcPr>
          <w:p>
            <w:pPr>
              <w:spacing w:line="320" w:lineRule="exact"/>
              <w:rPr>
                <w:color w:val="auto"/>
                <w:szCs w:val="21"/>
              </w:rPr>
            </w:pPr>
            <w:r>
              <w:rPr>
                <w:color w:val="auto"/>
                <w:szCs w:val="21"/>
              </w:rPr>
              <w:t xml:space="preserve">60-69 </w:t>
            </w:r>
          </w:p>
        </w:tc>
        <w:tc>
          <w:tcPr>
            <w:tcW w:w="8476" w:type="dxa"/>
            <w:shd w:val="clear" w:color="auto" w:fill="FFFFFF"/>
            <w:vAlign w:val="center"/>
          </w:tcPr>
          <w:p>
            <w:pPr>
              <w:spacing w:line="320" w:lineRule="exact"/>
              <w:rPr>
                <w:color w:val="auto"/>
                <w:szCs w:val="21"/>
              </w:rPr>
            </w:pPr>
            <w:r>
              <w:rPr>
                <w:color w:val="auto"/>
                <w:szCs w:val="21"/>
              </w:rPr>
              <w:t>Poor to below average. The speaker has clear problems and some minor strengths.</w:t>
            </w:r>
          </w:p>
        </w:tc>
      </w:tr>
      <w:tr>
        <w:tblPrEx>
          <w:tblLayout w:type="fixed"/>
          <w:tblCellMar>
            <w:top w:w="30" w:type="dxa"/>
            <w:left w:w="30" w:type="dxa"/>
            <w:bottom w:w="30" w:type="dxa"/>
            <w:right w:w="30" w:type="dxa"/>
          </w:tblCellMar>
        </w:tblPrEx>
        <w:trPr>
          <w:tblCellSpacing w:w="7" w:type="dxa"/>
          <w:jc w:val="center"/>
        </w:trPr>
        <w:tc>
          <w:tcPr>
            <w:tcW w:w="793" w:type="dxa"/>
            <w:shd w:val="clear" w:color="auto" w:fill="FFFFFF"/>
            <w:vAlign w:val="center"/>
          </w:tcPr>
          <w:p>
            <w:pPr>
              <w:spacing w:line="320" w:lineRule="exact"/>
              <w:rPr>
                <w:color w:val="auto"/>
                <w:szCs w:val="21"/>
              </w:rPr>
            </w:pPr>
            <w:r>
              <w:rPr>
                <w:color w:val="auto"/>
                <w:szCs w:val="21"/>
              </w:rPr>
              <w:t xml:space="preserve">50-59 </w:t>
            </w:r>
          </w:p>
        </w:tc>
        <w:tc>
          <w:tcPr>
            <w:tcW w:w="8476" w:type="dxa"/>
            <w:shd w:val="clear" w:color="auto" w:fill="FFFFFF"/>
            <w:vAlign w:val="center"/>
          </w:tcPr>
          <w:p>
            <w:pPr>
              <w:spacing w:line="320" w:lineRule="exact"/>
              <w:rPr>
                <w:color w:val="auto"/>
                <w:szCs w:val="21"/>
              </w:rPr>
            </w:pPr>
            <w:r>
              <w:rPr>
                <w:color w:val="auto"/>
                <w:szCs w:val="21"/>
              </w:rPr>
              <w:t>Very poor. The speaker has fundamental weaknesses and few, if any, strengths.</w:t>
            </w:r>
          </w:p>
        </w:tc>
      </w:tr>
    </w:tbl>
    <w:p>
      <w:pPr>
        <w:spacing w:line="320" w:lineRule="exact"/>
        <w:ind w:firstLine="315" w:firstLineChars="150"/>
        <w:rPr>
          <w:rFonts w:hint="eastAsia"/>
          <w:color w:val="auto"/>
          <w:szCs w:val="21"/>
        </w:rPr>
      </w:pPr>
      <w:r>
        <w:rPr>
          <w:color w:val="auto"/>
          <w:szCs w:val="21"/>
        </w:rPr>
        <w:t>The aggregate of the two team members’ individual speaker scores will comprise their team’s team score.  Each team must receive a team score appropriate to their rank in the debate; no “low point wins” may be assigned. For example, if the 2nd place team in the round is assigned an aggregate team score of 170 points, the 1st place team must receive at least 171 aggregate points. Ties in team scores are not permitted.</w:t>
      </w:r>
    </w:p>
    <w:p>
      <w:pPr>
        <w:spacing w:line="360" w:lineRule="exact"/>
        <w:jc w:val="center"/>
        <w:rPr>
          <w:rFonts w:hint="eastAsia" w:ascii="仿宋_GB2312" w:eastAsia="仿宋_GB2312"/>
          <w:b/>
          <w:color w:val="auto"/>
          <w:sz w:val="28"/>
          <w:szCs w:val="28"/>
        </w:rPr>
      </w:pPr>
      <w:r>
        <w:rPr>
          <w:rFonts w:ascii="仿宋_GB2312" w:eastAsia="仿宋_GB2312"/>
          <w:b/>
          <w:color w:val="auto"/>
          <w:sz w:val="28"/>
          <w:szCs w:val="28"/>
        </w:rPr>
        <w:br w:type="page"/>
      </w:r>
      <w:r>
        <w:rPr>
          <w:rFonts w:hint="eastAsia" w:ascii="仿宋_GB2312" w:hAnsi="宋体" w:eastAsia="仿宋_GB2312"/>
          <w:b/>
          <w:color w:val="auto"/>
          <w:sz w:val="28"/>
          <w:szCs w:val="28"/>
        </w:rPr>
        <w:t>评分准则</w:t>
      </w:r>
    </w:p>
    <w:p>
      <w:pPr>
        <w:spacing w:line="360" w:lineRule="exact"/>
        <w:ind w:firstLine="315" w:firstLineChars="150"/>
        <w:rPr>
          <w:color w:val="auto"/>
          <w:szCs w:val="21"/>
        </w:rPr>
      </w:pPr>
    </w:p>
    <w:p>
      <w:pPr>
        <w:spacing w:line="360" w:lineRule="exact"/>
        <w:ind w:firstLine="315" w:firstLineChars="150"/>
        <w:rPr>
          <w:color w:val="auto"/>
          <w:szCs w:val="21"/>
        </w:rPr>
      </w:pPr>
      <w:r>
        <w:rPr>
          <w:rFonts w:hAnsi="宋体"/>
          <w:color w:val="auto"/>
          <w:szCs w:val="21"/>
        </w:rPr>
        <w:t>评委主要根据选手在素材</w:t>
      </w:r>
      <w:r>
        <w:rPr>
          <w:color w:val="auto"/>
          <w:szCs w:val="21"/>
        </w:rPr>
        <w:t>(</w:t>
      </w:r>
      <w:r>
        <w:rPr>
          <w:b/>
          <w:color w:val="auto"/>
          <w:szCs w:val="21"/>
        </w:rPr>
        <w:t>Matter</w:t>
      </w:r>
      <w:r>
        <w:rPr>
          <w:color w:val="auto"/>
          <w:szCs w:val="21"/>
        </w:rPr>
        <w:t>)</w:t>
      </w:r>
      <w:r>
        <w:rPr>
          <w:rFonts w:hAnsi="宋体"/>
          <w:color w:val="auto"/>
          <w:szCs w:val="21"/>
        </w:rPr>
        <w:t>和辩论风格及策略</w:t>
      </w:r>
      <w:r>
        <w:rPr>
          <w:color w:val="auto"/>
          <w:szCs w:val="21"/>
        </w:rPr>
        <w:t>(</w:t>
      </w:r>
      <w:r>
        <w:rPr>
          <w:b/>
          <w:color w:val="auto"/>
          <w:szCs w:val="21"/>
        </w:rPr>
        <w:t>Manner</w:t>
      </w:r>
      <w:r>
        <w:rPr>
          <w:color w:val="auto"/>
          <w:szCs w:val="21"/>
        </w:rPr>
        <w:t>)</w:t>
      </w:r>
      <w:r>
        <w:rPr>
          <w:rFonts w:hAnsi="宋体"/>
          <w:color w:val="auto"/>
          <w:szCs w:val="21"/>
        </w:rPr>
        <w:t>两方面的表现打分。</w:t>
      </w:r>
      <w:r>
        <w:rPr>
          <w:color w:val="auto"/>
          <w:szCs w:val="21"/>
        </w:rPr>
        <w:t xml:space="preserve"> </w:t>
      </w:r>
    </w:p>
    <w:p>
      <w:pPr>
        <w:spacing w:line="360" w:lineRule="exact"/>
        <w:ind w:firstLine="315" w:firstLineChars="150"/>
        <w:rPr>
          <w:color w:val="auto"/>
          <w:szCs w:val="21"/>
        </w:rPr>
      </w:pPr>
      <w:r>
        <w:rPr>
          <w:b/>
          <w:color w:val="auto"/>
          <w:szCs w:val="21"/>
        </w:rPr>
        <w:t>Matter</w:t>
      </w:r>
      <w:r>
        <w:rPr>
          <w:rFonts w:hAnsi="宋体"/>
          <w:color w:val="auto"/>
          <w:szCs w:val="21"/>
        </w:rPr>
        <w:t>主要指辩论过程中的素材，即用来支持定义的论点和论据。素材必须与辩题密切相关，符合逻辑，且具有连贯性和说服力。所有辩手在发展己方观点时要从正面阐述观点（不得一味反驳对方观点或指出对方的错误）。在总结陈词中不得提出新的素材，也不得将辩题引入新的方面。</w:t>
      </w:r>
    </w:p>
    <w:p>
      <w:pPr>
        <w:spacing w:line="360" w:lineRule="exact"/>
        <w:ind w:firstLine="315" w:firstLineChars="150"/>
        <w:rPr>
          <w:color w:val="auto"/>
          <w:szCs w:val="21"/>
        </w:rPr>
      </w:pPr>
      <w:r>
        <w:rPr>
          <w:b/>
          <w:color w:val="auto"/>
          <w:szCs w:val="21"/>
        </w:rPr>
        <w:t xml:space="preserve">Manner </w:t>
      </w:r>
      <w:r>
        <w:rPr>
          <w:rFonts w:hAnsi="宋体"/>
          <w:color w:val="auto"/>
          <w:szCs w:val="21"/>
        </w:rPr>
        <w:t>主要指辩手陈述己方观点和反驳对方观点时所采用的风格和策略。风格包括说话方式，如音量，清晰度，发音，节奏，语调，流利程度，自信心等，也包括目光交流，可信度，自然恰当的手势，和有效适度的幽默感等方面。策略包括组织论据，选择论点，应对质询，和团队合作等方面。本比赛没有一成不变的</w:t>
      </w:r>
      <w:r>
        <w:rPr>
          <w:color w:val="auto"/>
          <w:szCs w:val="21"/>
        </w:rPr>
        <w:t>“</w:t>
      </w:r>
      <w:r>
        <w:rPr>
          <w:rFonts w:hAnsi="宋体"/>
          <w:color w:val="auto"/>
          <w:szCs w:val="21"/>
        </w:rPr>
        <w:t>正确</w:t>
      </w:r>
      <w:r>
        <w:rPr>
          <w:color w:val="auto"/>
          <w:szCs w:val="21"/>
        </w:rPr>
        <w:t>”</w:t>
      </w:r>
      <w:r>
        <w:rPr>
          <w:rFonts w:hAnsi="宋体"/>
          <w:color w:val="auto"/>
          <w:szCs w:val="21"/>
        </w:rPr>
        <w:t>风格和策略。鉴于英语并非参赛选手的母语，英语水平可以作为评分的一个依据，但不能作为唯一的评分依据。</w:t>
      </w:r>
    </w:p>
    <w:p>
      <w:pPr>
        <w:spacing w:line="360" w:lineRule="exact"/>
        <w:ind w:firstLine="315" w:firstLineChars="150"/>
        <w:rPr>
          <w:color w:val="auto"/>
          <w:szCs w:val="21"/>
        </w:rPr>
      </w:pPr>
      <w:r>
        <w:rPr>
          <w:rFonts w:hAnsi="宋体"/>
          <w:color w:val="auto"/>
          <w:szCs w:val="21"/>
        </w:rPr>
        <w:t>以上仅是评判辩论方法的一些指导性要素而非必须和全部，评委需综合评判辩手的赛场表现。每位辩手的表现满分为</w:t>
      </w:r>
      <w:r>
        <w:rPr>
          <w:color w:val="auto"/>
          <w:szCs w:val="21"/>
        </w:rPr>
        <w:t>100</w:t>
      </w:r>
      <w:r>
        <w:rPr>
          <w:rFonts w:hAnsi="宋体"/>
          <w:color w:val="auto"/>
          <w:szCs w:val="21"/>
        </w:rPr>
        <w:t>分，</w:t>
      </w:r>
      <w:r>
        <w:rPr>
          <w:color w:val="auto"/>
          <w:szCs w:val="21"/>
        </w:rPr>
        <w:t>75</w:t>
      </w:r>
      <w:r>
        <w:rPr>
          <w:rFonts w:hAnsi="宋体"/>
          <w:color w:val="auto"/>
          <w:szCs w:val="21"/>
        </w:rPr>
        <w:t>分为平均分。</w:t>
      </w:r>
    </w:p>
    <w:p>
      <w:pPr>
        <w:spacing w:line="360" w:lineRule="exact"/>
        <w:ind w:firstLine="315" w:firstLineChars="150"/>
        <w:rPr>
          <w:color w:val="auto"/>
          <w:szCs w:val="21"/>
        </w:rPr>
      </w:pPr>
    </w:p>
    <w:tbl>
      <w:tblPr>
        <w:tblStyle w:val="6"/>
        <w:tblW w:w="9093" w:type="dxa"/>
        <w:jc w:val="center"/>
        <w:tblCellSpacing w:w="7" w:type="dxa"/>
        <w:tblInd w:w="0" w:type="dxa"/>
        <w:shd w:val="clear" w:color="auto" w:fill="CCCCCC"/>
        <w:tblLayout w:type="fixed"/>
        <w:tblCellMar>
          <w:top w:w="30" w:type="dxa"/>
          <w:left w:w="30" w:type="dxa"/>
          <w:bottom w:w="30" w:type="dxa"/>
          <w:right w:w="30" w:type="dxa"/>
        </w:tblCellMar>
      </w:tblPr>
      <w:tblGrid>
        <w:gridCol w:w="814"/>
        <w:gridCol w:w="8279"/>
      </w:tblGrid>
      <w:tr>
        <w:tblPrEx>
          <w:shd w:val="clear" w:color="auto" w:fill="CCCCCC"/>
          <w:tblLayout w:type="fixed"/>
          <w:tblCellMar>
            <w:top w:w="30" w:type="dxa"/>
            <w:left w:w="30" w:type="dxa"/>
            <w:bottom w:w="30" w:type="dxa"/>
            <w:right w:w="30" w:type="dxa"/>
          </w:tblCellMar>
        </w:tblPrEx>
        <w:trPr>
          <w:tblCellSpacing w:w="7" w:type="dxa"/>
          <w:jc w:val="center"/>
        </w:trPr>
        <w:tc>
          <w:tcPr>
            <w:tcW w:w="793" w:type="dxa"/>
            <w:shd w:val="clear" w:color="auto" w:fill="FFFFFF"/>
            <w:vAlign w:val="center"/>
          </w:tcPr>
          <w:p>
            <w:pPr>
              <w:spacing w:line="360" w:lineRule="exact"/>
              <w:rPr>
                <w:color w:val="auto"/>
                <w:szCs w:val="21"/>
              </w:rPr>
            </w:pPr>
            <w:r>
              <w:rPr>
                <w:rFonts w:hAnsi="宋体"/>
                <w:color w:val="auto"/>
                <w:szCs w:val="21"/>
              </w:rPr>
              <w:t>分值</w:t>
            </w:r>
          </w:p>
        </w:tc>
        <w:tc>
          <w:tcPr>
            <w:tcW w:w="8258" w:type="dxa"/>
            <w:shd w:val="clear" w:color="auto" w:fill="FFFFFF"/>
            <w:vAlign w:val="center"/>
          </w:tcPr>
          <w:p>
            <w:pPr>
              <w:spacing w:line="360" w:lineRule="exact"/>
              <w:rPr>
                <w:color w:val="auto"/>
                <w:szCs w:val="21"/>
              </w:rPr>
            </w:pPr>
            <w:r>
              <w:rPr>
                <w:rFonts w:hAnsi="宋体"/>
                <w:color w:val="auto"/>
                <w:szCs w:val="21"/>
              </w:rPr>
              <w:t>等级</w:t>
            </w:r>
          </w:p>
        </w:tc>
      </w:tr>
      <w:tr>
        <w:tblPrEx>
          <w:tblLayout w:type="fixed"/>
          <w:tblCellMar>
            <w:top w:w="30" w:type="dxa"/>
            <w:left w:w="30" w:type="dxa"/>
            <w:bottom w:w="30" w:type="dxa"/>
            <w:right w:w="30" w:type="dxa"/>
          </w:tblCellMar>
        </w:tblPrEx>
        <w:trPr>
          <w:tblCellSpacing w:w="7" w:type="dxa"/>
          <w:jc w:val="center"/>
        </w:trPr>
        <w:tc>
          <w:tcPr>
            <w:tcW w:w="793" w:type="dxa"/>
            <w:shd w:val="clear" w:color="auto" w:fill="FFFFFF"/>
            <w:vAlign w:val="center"/>
          </w:tcPr>
          <w:p>
            <w:pPr>
              <w:spacing w:line="360" w:lineRule="exact"/>
              <w:rPr>
                <w:color w:val="auto"/>
                <w:szCs w:val="21"/>
              </w:rPr>
            </w:pPr>
            <w:r>
              <w:rPr>
                <w:color w:val="auto"/>
                <w:szCs w:val="21"/>
              </w:rPr>
              <w:t xml:space="preserve">90-100 </w:t>
            </w:r>
          </w:p>
        </w:tc>
        <w:tc>
          <w:tcPr>
            <w:tcW w:w="8258" w:type="dxa"/>
            <w:shd w:val="clear" w:color="auto" w:fill="FFFFFF"/>
            <w:vAlign w:val="center"/>
          </w:tcPr>
          <w:p>
            <w:pPr>
              <w:spacing w:line="360" w:lineRule="exact"/>
              <w:rPr>
                <w:color w:val="auto"/>
                <w:szCs w:val="21"/>
              </w:rPr>
            </w:pPr>
            <w:r>
              <w:rPr>
                <w:rFonts w:hAnsi="宋体"/>
                <w:color w:val="auto"/>
                <w:szCs w:val="21"/>
              </w:rPr>
              <w:t>非常好。可以进入决赛，有非常明显的优势和极少的缺陷。</w:t>
            </w:r>
          </w:p>
        </w:tc>
      </w:tr>
      <w:tr>
        <w:tblPrEx>
          <w:tblLayout w:type="fixed"/>
          <w:tblCellMar>
            <w:top w:w="30" w:type="dxa"/>
            <w:left w:w="30" w:type="dxa"/>
            <w:bottom w:w="30" w:type="dxa"/>
            <w:right w:w="30" w:type="dxa"/>
          </w:tblCellMar>
        </w:tblPrEx>
        <w:trPr>
          <w:tblCellSpacing w:w="7" w:type="dxa"/>
          <w:jc w:val="center"/>
        </w:trPr>
        <w:tc>
          <w:tcPr>
            <w:tcW w:w="793" w:type="dxa"/>
            <w:shd w:val="clear" w:color="auto" w:fill="FFFFFF"/>
            <w:vAlign w:val="center"/>
          </w:tcPr>
          <w:p>
            <w:pPr>
              <w:spacing w:line="360" w:lineRule="exact"/>
              <w:rPr>
                <w:color w:val="auto"/>
                <w:szCs w:val="21"/>
              </w:rPr>
            </w:pPr>
            <w:r>
              <w:rPr>
                <w:color w:val="auto"/>
                <w:szCs w:val="21"/>
              </w:rPr>
              <w:t xml:space="preserve">80-89 </w:t>
            </w:r>
          </w:p>
        </w:tc>
        <w:tc>
          <w:tcPr>
            <w:tcW w:w="8258" w:type="dxa"/>
            <w:shd w:val="clear" w:color="auto" w:fill="FFFFFF"/>
            <w:vAlign w:val="center"/>
          </w:tcPr>
          <w:p>
            <w:pPr>
              <w:spacing w:line="360" w:lineRule="exact"/>
              <w:rPr>
                <w:color w:val="auto"/>
                <w:szCs w:val="21"/>
              </w:rPr>
            </w:pPr>
            <w:r>
              <w:rPr>
                <w:rFonts w:hAnsi="宋体"/>
                <w:color w:val="auto"/>
                <w:szCs w:val="21"/>
              </w:rPr>
              <w:t>好。可以进入半决赛甚至决赛，有明显的优势和一些小的缺点。</w:t>
            </w:r>
          </w:p>
        </w:tc>
      </w:tr>
      <w:tr>
        <w:tblPrEx>
          <w:tblLayout w:type="fixed"/>
          <w:tblCellMar>
            <w:top w:w="30" w:type="dxa"/>
            <w:left w:w="30" w:type="dxa"/>
            <w:bottom w:w="30" w:type="dxa"/>
            <w:right w:w="30" w:type="dxa"/>
          </w:tblCellMar>
        </w:tblPrEx>
        <w:trPr>
          <w:tblCellSpacing w:w="7" w:type="dxa"/>
          <w:jc w:val="center"/>
        </w:trPr>
        <w:tc>
          <w:tcPr>
            <w:tcW w:w="793" w:type="dxa"/>
            <w:shd w:val="clear" w:color="auto" w:fill="FFFFFF"/>
            <w:vAlign w:val="center"/>
          </w:tcPr>
          <w:p>
            <w:pPr>
              <w:spacing w:line="360" w:lineRule="exact"/>
              <w:rPr>
                <w:color w:val="auto"/>
                <w:szCs w:val="21"/>
              </w:rPr>
            </w:pPr>
            <w:r>
              <w:rPr>
                <w:color w:val="auto"/>
                <w:szCs w:val="21"/>
              </w:rPr>
              <w:t xml:space="preserve">70-79 </w:t>
            </w:r>
          </w:p>
        </w:tc>
        <w:tc>
          <w:tcPr>
            <w:tcW w:w="8258" w:type="dxa"/>
            <w:shd w:val="clear" w:color="auto" w:fill="FFFFFF"/>
            <w:vAlign w:val="center"/>
          </w:tcPr>
          <w:p>
            <w:pPr>
              <w:spacing w:line="360" w:lineRule="exact"/>
              <w:rPr>
                <w:color w:val="auto"/>
                <w:szCs w:val="21"/>
              </w:rPr>
            </w:pPr>
            <w:r>
              <w:rPr>
                <w:rFonts w:hAnsi="宋体"/>
                <w:color w:val="auto"/>
                <w:szCs w:val="21"/>
              </w:rPr>
              <w:t>平均水平。思想表达清楚，语句连贯，强项和弱项都有明显体现。</w:t>
            </w:r>
          </w:p>
        </w:tc>
      </w:tr>
      <w:tr>
        <w:tblPrEx>
          <w:tblLayout w:type="fixed"/>
          <w:tblCellMar>
            <w:top w:w="30" w:type="dxa"/>
            <w:left w:w="30" w:type="dxa"/>
            <w:bottom w:w="30" w:type="dxa"/>
            <w:right w:w="30" w:type="dxa"/>
          </w:tblCellMar>
        </w:tblPrEx>
        <w:trPr>
          <w:tblCellSpacing w:w="7" w:type="dxa"/>
          <w:jc w:val="center"/>
        </w:trPr>
        <w:tc>
          <w:tcPr>
            <w:tcW w:w="793" w:type="dxa"/>
            <w:shd w:val="clear" w:color="auto" w:fill="FFFFFF"/>
            <w:vAlign w:val="center"/>
          </w:tcPr>
          <w:p>
            <w:pPr>
              <w:spacing w:line="360" w:lineRule="exact"/>
              <w:rPr>
                <w:color w:val="auto"/>
                <w:szCs w:val="21"/>
              </w:rPr>
            </w:pPr>
            <w:r>
              <w:rPr>
                <w:color w:val="auto"/>
                <w:szCs w:val="21"/>
              </w:rPr>
              <w:t xml:space="preserve">60-69 </w:t>
            </w:r>
          </w:p>
        </w:tc>
        <w:tc>
          <w:tcPr>
            <w:tcW w:w="8258" w:type="dxa"/>
            <w:shd w:val="clear" w:color="auto" w:fill="FFFFFF"/>
            <w:vAlign w:val="center"/>
          </w:tcPr>
          <w:p>
            <w:pPr>
              <w:spacing w:line="360" w:lineRule="exact"/>
              <w:rPr>
                <w:color w:val="auto"/>
                <w:szCs w:val="21"/>
              </w:rPr>
            </w:pPr>
            <w:r>
              <w:rPr>
                <w:rFonts w:hAnsi="宋体"/>
                <w:color w:val="auto"/>
                <w:szCs w:val="21"/>
              </w:rPr>
              <w:t>比较差。表达不够清楚，思路不够连贯，有较多严重的语言错误，不能有效完成辩手职责。</w:t>
            </w:r>
          </w:p>
        </w:tc>
      </w:tr>
      <w:tr>
        <w:tblPrEx>
          <w:tblLayout w:type="fixed"/>
          <w:tblCellMar>
            <w:top w:w="30" w:type="dxa"/>
            <w:left w:w="30" w:type="dxa"/>
            <w:bottom w:w="30" w:type="dxa"/>
            <w:right w:w="30" w:type="dxa"/>
          </w:tblCellMar>
        </w:tblPrEx>
        <w:trPr>
          <w:tblCellSpacing w:w="7" w:type="dxa"/>
          <w:jc w:val="center"/>
        </w:trPr>
        <w:tc>
          <w:tcPr>
            <w:tcW w:w="793" w:type="dxa"/>
            <w:shd w:val="clear" w:color="auto" w:fill="FFFFFF"/>
            <w:vAlign w:val="center"/>
          </w:tcPr>
          <w:p>
            <w:pPr>
              <w:spacing w:line="360" w:lineRule="exact"/>
              <w:rPr>
                <w:color w:val="auto"/>
                <w:szCs w:val="21"/>
              </w:rPr>
            </w:pPr>
            <w:r>
              <w:rPr>
                <w:color w:val="auto"/>
                <w:szCs w:val="21"/>
              </w:rPr>
              <w:t xml:space="preserve">50-59 </w:t>
            </w:r>
          </w:p>
        </w:tc>
        <w:tc>
          <w:tcPr>
            <w:tcW w:w="8258" w:type="dxa"/>
            <w:shd w:val="clear" w:color="auto" w:fill="FFFFFF"/>
            <w:vAlign w:val="center"/>
          </w:tcPr>
          <w:p>
            <w:pPr>
              <w:spacing w:line="360" w:lineRule="exact"/>
              <w:rPr>
                <w:color w:val="auto"/>
                <w:szCs w:val="21"/>
              </w:rPr>
            </w:pPr>
            <w:r>
              <w:rPr>
                <w:rFonts w:hAnsi="宋体"/>
                <w:color w:val="auto"/>
                <w:szCs w:val="21"/>
              </w:rPr>
              <w:t>差。条理不清，思路紊乱，语言均有明显错误，且多数为严重错误，不能完成辩手职责。</w:t>
            </w:r>
          </w:p>
        </w:tc>
      </w:tr>
    </w:tbl>
    <w:p>
      <w:pPr>
        <w:spacing w:line="360" w:lineRule="exact"/>
        <w:rPr>
          <w:color w:val="auto"/>
          <w:szCs w:val="21"/>
        </w:rPr>
      </w:pPr>
    </w:p>
    <w:p>
      <w:pPr>
        <w:spacing w:line="360" w:lineRule="exact"/>
        <w:ind w:firstLine="315" w:firstLineChars="150"/>
        <w:rPr>
          <w:color w:val="auto"/>
          <w:szCs w:val="21"/>
        </w:rPr>
      </w:pPr>
      <w:r>
        <w:rPr>
          <w:rFonts w:hAnsi="宋体"/>
          <w:color w:val="auto"/>
          <w:szCs w:val="21"/>
        </w:rPr>
        <w:t>每队两位辩手分数的总和即每队的总分，每队的总分要与他们在那一轮比赛中的名次相匹配，比如，如果排名第二的队（两位辩手）所得总分为</w:t>
      </w:r>
      <w:r>
        <w:rPr>
          <w:color w:val="auto"/>
          <w:szCs w:val="21"/>
        </w:rPr>
        <w:t>170</w:t>
      </w:r>
      <w:r>
        <w:rPr>
          <w:rFonts w:hAnsi="宋体"/>
          <w:color w:val="auto"/>
          <w:szCs w:val="21"/>
        </w:rPr>
        <w:t>分，那排名第一的队所得总分至少是</w:t>
      </w:r>
      <w:r>
        <w:rPr>
          <w:color w:val="auto"/>
          <w:szCs w:val="21"/>
        </w:rPr>
        <w:t>171</w:t>
      </w:r>
      <w:r>
        <w:rPr>
          <w:rFonts w:hAnsi="宋体"/>
          <w:color w:val="auto"/>
          <w:szCs w:val="21"/>
        </w:rPr>
        <w:t>分。没有平局，也不允许出现半分。</w:t>
      </w:r>
    </w:p>
    <w:p>
      <w:pPr>
        <w:spacing w:line="280" w:lineRule="exact"/>
        <w:rPr>
          <w:color w:val="auto"/>
          <w:szCs w:val="21"/>
        </w:rPr>
      </w:pPr>
    </w:p>
    <w:p>
      <w:pPr>
        <w:spacing w:line="280" w:lineRule="exact"/>
        <w:jc w:val="center"/>
        <w:rPr>
          <w:color w:val="auto"/>
          <w:szCs w:val="21"/>
        </w:rPr>
      </w:pPr>
      <w:r>
        <w:rPr>
          <w:rFonts w:ascii="仿宋_GB2312" w:hAnsi="宋体" w:eastAsia="仿宋_GB2312"/>
          <w:b/>
          <w:color w:val="auto"/>
          <w:sz w:val="28"/>
          <w:szCs w:val="28"/>
        </w:rPr>
        <w:t>打分表(Ballot)</w:t>
      </w:r>
    </w:p>
    <w:p>
      <w:pPr>
        <w:spacing w:line="280" w:lineRule="exact"/>
        <w:rPr>
          <w:color w:val="auto"/>
          <w:szCs w:val="21"/>
        </w:rPr>
      </w:pPr>
    </w:p>
    <w:tbl>
      <w:tblPr>
        <w:tblStyle w:val="6"/>
        <w:tblW w:w="957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7"/>
        <w:gridCol w:w="1417"/>
        <w:gridCol w:w="284"/>
        <w:gridCol w:w="2835"/>
        <w:gridCol w:w="2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2977" w:type="dxa"/>
            <w:shd w:val="clear" w:color="auto" w:fill="auto"/>
            <w:vAlign w:val="top"/>
          </w:tcPr>
          <w:p>
            <w:pPr>
              <w:spacing w:line="280" w:lineRule="exact"/>
              <w:rPr>
                <w:b/>
                <w:color w:val="auto"/>
                <w:sz w:val="24"/>
              </w:rPr>
            </w:pPr>
            <w:r>
              <w:rPr>
                <w:b/>
                <w:color w:val="auto"/>
                <w:sz w:val="24"/>
              </w:rPr>
              <w:t>Opening Proposition</w:t>
            </w:r>
          </w:p>
        </w:tc>
        <w:tc>
          <w:tcPr>
            <w:tcW w:w="1417" w:type="dxa"/>
            <w:shd w:val="clear" w:color="auto" w:fill="auto"/>
            <w:vAlign w:val="top"/>
          </w:tcPr>
          <w:p>
            <w:pPr>
              <w:spacing w:line="280" w:lineRule="exact"/>
              <w:rPr>
                <w:color w:val="auto"/>
                <w:sz w:val="24"/>
              </w:rPr>
            </w:pPr>
            <w:r>
              <w:rPr>
                <w:color w:val="auto"/>
                <w:sz w:val="24"/>
              </w:rPr>
              <w:t>Rank:</w:t>
            </w:r>
          </w:p>
        </w:tc>
        <w:tc>
          <w:tcPr>
            <w:tcW w:w="284" w:type="dxa"/>
            <w:vMerge w:val="restart"/>
            <w:shd w:val="clear" w:color="auto" w:fill="7F7F7F"/>
            <w:vAlign w:val="top"/>
          </w:tcPr>
          <w:p>
            <w:pPr>
              <w:spacing w:line="280" w:lineRule="exact"/>
              <w:rPr>
                <w:b/>
                <w:color w:val="auto"/>
                <w:sz w:val="24"/>
              </w:rPr>
            </w:pPr>
          </w:p>
        </w:tc>
        <w:tc>
          <w:tcPr>
            <w:tcW w:w="2835" w:type="dxa"/>
            <w:vAlign w:val="top"/>
          </w:tcPr>
          <w:p>
            <w:pPr>
              <w:spacing w:line="280" w:lineRule="exact"/>
              <w:rPr>
                <w:b/>
                <w:color w:val="auto"/>
                <w:sz w:val="24"/>
              </w:rPr>
            </w:pPr>
            <w:r>
              <w:rPr>
                <w:b/>
                <w:color w:val="auto"/>
                <w:sz w:val="24"/>
              </w:rPr>
              <w:t>Opening Opposition</w:t>
            </w:r>
          </w:p>
        </w:tc>
        <w:tc>
          <w:tcPr>
            <w:tcW w:w="2065" w:type="dxa"/>
            <w:vAlign w:val="top"/>
          </w:tcPr>
          <w:p>
            <w:pPr>
              <w:spacing w:line="280" w:lineRule="exact"/>
              <w:rPr>
                <w:color w:val="auto"/>
                <w:sz w:val="24"/>
              </w:rPr>
            </w:pPr>
            <w:r>
              <w:rPr>
                <w:color w:val="auto"/>
                <w:sz w:val="24"/>
              </w:rPr>
              <w:t>Rank: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2977" w:type="dxa"/>
            <w:shd w:val="clear" w:color="auto" w:fill="auto"/>
            <w:vAlign w:val="top"/>
          </w:tcPr>
          <w:p>
            <w:pPr>
              <w:spacing w:line="280" w:lineRule="exact"/>
              <w:rPr>
                <w:color w:val="auto"/>
                <w:sz w:val="24"/>
              </w:rPr>
            </w:pPr>
            <w:r>
              <w:rPr>
                <w:color w:val="auto"/>
                <w:sz w:val="24"/>
              </w:rPr>
              <w:t>Leader Proposition</w:t>
            </w:r>
          </w:p>
        </w:tc>
        <w:tc>
          <w:tcPr>
            <w:tcW w:w="1417" w:type="dxa"/>
            <w:shd w:val="clear" w:color="auto" w:fill="auto"/>
            <w:vAlign w:val="top"/>
          </w:tcPr>
          <w:p>
            <w:pPr>
              <w:spacing w:line="280" w:lineRule="exact"/>
              <w:rPr>
                <w:color w:val="auto"/>
                <w:sz w:val="24"/>
              </w:rPr>
            </w:pPr>
            <w:r>
              <w:rPr>
                <w:color w:val="auto"/>
                <w:sz w:val="24"/>
              </w:rPr>
              <w:t>Points:</w:t>
            </w:r>
          </w:p>
        </w:tc>
        <w:tc>
          <w:tcPr>
            <w:tcW w:w="284" w:type="dxa"/>
            <w:vMerge w:val="continue"/>
            <w:shd w:val="clear" w:color="auto" w:fill="7F7F7F"/>
            <w:vAlign w:val="top"/>
          </w:tcPr>
          <w:p>
            <w:pPr>
              <w:spacing w:line="280" w:lineRule="exact"/>
              <w:rPr>
                <w:color w:val="auto"/>
                <w:sz w:val="24"/>
              </w:rPr>
            </w:pPr>
          </w:p>
        </w:tc>
        <w:tc>
          <w:tcPr>
            <w:tcW w:w="2835" w:type="dxa"/>
            <w:vAlign w:val="top"/>
          </w:tcPr>
          <w:p>
            <w:pPr>
              <w:spacing w:line="280" w:lineRule="exact"/>
              <w:rPr>
                <w:color w:val="auto"/>
                <w:sz w:val="24"/>
              </w:rPr>
            </w:pPr>
            <w:r>
              <w:rPr>
                <w:color w:val="auto"/>
                <w:sz w:val="24"/>
              </w:rPr>
              <w:t>Leader Opposition</w:t>
            </w:r>
          </w:p>
        </w:tc>
        <w:tc>
          <w:tcPr>
            <w:tcW w:w="2065" w:type="dxa"/>
            <w:vAlign w:val="top"/>
          </w:tcPr>
          <w:p>
            <w:pPr>
              <w:spacing w:line="280" w:lineRule="exact"/>
              <w:rPr>
                <w:color w:val="auto"/>
                <w:sz w:val="24"/>
              </w:rPr>
            </w:pPr>
            <w:r>
              <w:rPr>
                <w:color w:val="auto"/>
                <w:sz w:val="24"/>
              </w:rPr>
              <w:t>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2977" w:type="dxa"/>
            <w:shd w:val="clear" w:color="auto" w:fill="auto"/>
            <w:vAlign w:val="top"/>
          </w:tcPr>
          <w:p>
            <w:pPr>
              <w:spacing w:line="280" w:lineRule="exact"/>
              <w:rPr>
                <w:color w:val="auto"/>
                <w:sz w:val="24"/>
              </w:rPr>
            </w:pPr>
            <w:r>
              <w:rPr>
                <w:color w:val="auto"/>
                <w:sz w:val="24"/>
              </w:rPr>
              <w:t>Deputy Leader Proposition</w:t>
            </w:r>
          </w:p>
        </w:tc>
        <w:tc>
          <w:tcPr>
            <w:tcW w:w="1417" w:type="dxa"/>
            <w:shd w:val="clear" w:color="auto" w:fill="auto"/>
            <w:vAlign w:val="top"/>
          </w:tcPr>
          <w:p>
            <w:pPr>
              <w:spacing w:line="280" w:lineRule="exact"/>
              <w:rPr>
                <w:color w:val="auto"/>
                <w:sz w:val="24"/>
              </w:rPr>
            </w:pPr>
            <w:r>
              <w:rPr>
                <w:color w:val="auto"/>
                <w:sz w:val="24"/>
              </w:rPr>
              <w:t>Points:</w:t>
            </w:r>
          </w:p>
        </w:tc>
        <w:tc>
          <w:tcPr>
            <w:tcW w:w="284" w:type="dxa"/>
            <w:vMerge w:val="continue"/>
            <w:shd w:val="clear" w:color="auto" w:fill="7F7F7F"/>
            <w:vAlign w:val="top"/>
          </w:tcPr>
          <w:p>
            <w:pPr>
              <w:spacing w:line="280" w:lineRule="exact"/>
              <w:rPr>
                <w:color w:val="auto"/>
                <w:sz w:val="24"/>
              </w:rPr>
            </w:pPr>
          </w:p>
        </w:tc>
        <w:tc>
          <w:tcPr>
            <w:tcW w:w="2835" w:type="dxa"/>
            <w:vAlign w:val="top"/>
          </w:tcPr>
          <w:p>
            <w:pPr>
              <w:spacing w:line="280" w:lineRule="exact"/>
              <w:rPr>
                <w:color w:val="auto"/>
                <w:sz w:val="24"/>
              </w:rPr>
            </w:pPr>
            <w:r>
              <w:rPr>
                <w:color w:val="auto"/>
                <w:sz w:val="24"/>
              </w:rPr>
              <w:t>Deputy Leader Opposition</w:t>
            </w:r>
          </w:p>
        </w:tc>
        <w:tc>
          <w:tcPr>
            <w:tcW w:w="2065" w:type="dxa"/>
            <w:vAlign w:val="top"/>
          </w:tcPr>
          <w:p>
            <w:pPr>
              <w:spacing w:line="280" w:lineRule="exact"/>
              <w:rPr>
                <w:color w:val="auto"/>
                <w:sz w:val="24"/>
              </w:rPr>
            </w:pPr>
            <w:r>
              <w:rPr>
                <w:color w:val="auto"/>
                <w:sz w:val="24"/>
              </w:rPr>
              <w:t>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94" w:type="dxa"/>
            <w:gridSpan w:val="2"/>
            <w:shd w:val="clear" w:color="auto" w:fill="7F7F7F"/>
            <w:vAlign w:val="top"/>
          </w:tcPr>
          <w:p>
            <w:pPr>
              <w:spacing w:line="280" w:lineRule="exact"/>
              <w:rPr>
                <w:color w:val="auto"/>
                <w:sz w:val="24"/>
              </w:rPr>
            </w:pPr>
          </w:p>
        </w:tc>
        <w:tc>
          <w:tcPr>
            <w:tcW w:w="284" w:type="dxa"/>
            <w:shd w:val="clear" w:color="auto" w:fill="7F7F7F"/>
            <w:vAlign w:val="top"/>
          </w:tcPr>
          <w:p>
            <w:pPr>
              <w:spacing w:line="280" w:lineRule="exact"/>
              <w:rPr>
                <w:color w:val="auto"/>
                <w:sz w:val="24"/>
              </w:rPr>
            </w:pPr>
          </w:p>
        </w:tc>
        <w:tc>
          <w:tcPr>
            <w:tcW w:w="4900" w:type="dxa"/>
            <w:gridSpan w:val="2"/>
            <w:shd w:val="clear" w:color="auto" w:fill="7F7F7F"/>
            <w:vAlign w:val="top"/>
          </w:tcPr>
          <w:p>
            <w:pPr>
              <w:spacing w:line="280" w:lineRule="exac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2977" w:type="dxa"/>
            <w:shd w:val="clear" w:color="auto" w:fill="auto"/>
            <w:vAlign w:val="top"/>
          </w:tcPr>
          <w:p>
            <w:pPr>
              <w:spacing w:line="280" w:lineRule="exact"/>
              <w:rPr>
                <w:b/>
                <w:color w:val="auto"/>
                <w:sz w:val="24"/>
              </w:rPr>
            </w:pPr>
            <w:r>
              <w:rPr>
                <w:b/>
                <w:color w:val="auto"/>
                <w:sz w:val="24"/>
              </w:rPr>
              <w:t>Closing Proposition</w:t>
            </w:r>
          </w:p>
        </w:tc>
        <w:tc>
          <w:tcPr>
            <w:tcW w:w="1417" w:type="dxa"/>
            <w:shd w:val="clear" w:color="auto" w:fill="auto"/>
            <w:vAlign w:val="top"/>
          </w:tcPr>
          <w:p>
            <w:pPr>
              <w:spacing w:line="280" w:lineRule="exact"/>
              <w:rPr>
                <w:color w:val="auto"/>
                <w:sz w:val="24"/>
              </w:rPr>
            </w:pPr>
            <w:r>
              <w:rPr>
                <w:color w:val="auto"/>
                <w:sz w:val="24"/>
              </w:rPr>
              <w:t>Rank:</w:t>
            </w:r>
          </w:p>
        </w:tc>
        <w:tc>
          <w:tcPr>
            <w:tcW w:w="284" w:type="dxa"/>
            <w:vMerge w:val="restart"/>
            <w:shd w:val="clear" w:color="auto" w:fill="7F7F7F"/>
            <w:vAlign w:val="top"/>
          </w:tcPr>
          <w:p>
            <w:pPr>
              <w:spacing w:line="280" w:lineRule="exact"/>
              <w:rPr>
                <w:b/>
                <w:color w:val="auto"/>
                <w:sz w:val="24"/>
              </w:rPr>
            </w:pPr>
          </w:p>
        </w:tc>
        <w:tc>
          <w:tcPr>
            <w:tcW w:w="2835" w:type="dxa"/>
            <w:vAlign w:val="top"/>
          </w:tcPr>
          <w:p>
            <w:pPr>
              <w:spacing w:line="280" w:lineRule="exact"/>
              <w:rPr>
                <w:b/>
                <w:color w:val="auto"/>
                <w:sz w:val="24"/>
              </w:rPr>
            </w:pPr>
            <w:r>
              <w:rPr>
                <w:b/>
                <w:color w:val="auto"/>
                <w:sz w:val="24"/>
              </w:rPr>
              <w:t>Closing Opposition</w:t>
            </w:r>
          </w:p>
        </w:tc>
        <w:tc>
          <w:tcPr>
            <w:tcW w:w="2065" w:type="dxa"/>
            <w:vAlign w:val="top"/>
          </w:tcPr>
          <w:p>
            <w:pPr>
              <w:spacing w:line="280" w:lineRule="exact"/>
              <w:rPr>
                <w:color w:val="auto"/>
                <w:sz w:val="24"/>
              </w:rPr>
            </w:pPr>
            <w:r>
              <w:rPr>
                <w:color w:val="auto"/>
                <w:sz w:val="24"/>
              </w:rPr>
              <w:t>Rank: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2977" w:type="dxa"/>
            <w:shd w:val="clear" w:color="auto" w:fill="auto"/>
            <w:vAlign w:val="top"/>
          </w:tcPr>
          <w:p>
            <w:pPr>
              <w:spacing w:line="280" w:lineRule="exact"/>
              <w:rPr>
                <w:color w:val="auto"/>
                <w:sz w:val="24"/>
              </w:rPr>
            </w:pPr>
            <w:r>
              <w:rPr>
                <w:color w:val="auto"/>
                <w:sz w:val="24"/>
              </w:rPr>
              <w:t>Member Proposition</w:t>
            </w:r>
          </w:p>
        </w:tc>
        <w:tc>
          <w:tcPr>
            <w:tcW w:w="1417" w:type="dxa"/>
            <w:shd w:val="clear" w:color="auto" w:fill="auto"/>
            <w:vAlign w:val="top"/>
          </w:tcPr>
          <w:p>
            <w:pPr>
              <w:spacing w:line="280" w:lineRule="exact"/>
              <w:rPr>
                <w:color w:val="auto"/>
                <w:sz w:val="24"/>
              </w:rPr>
            </w:pPr>
            <w:r>
              <w:rPr>
                <w:color w:val="auto"/>
                <w:sz w:val="24"/>
              </w:rPr>
              <w:t>Points:</w:t>
            </w:r>
          </w:p>
        </w:tc>
        <w:tc>
          <w:tcPr>
            <w:tcW w:w="284" w:type="dxa"/>
            <w:vMerge w:val="continue"/>
            <w:shd w:val="clear" w:color="auto" w:fill="7F7F7F"/>
            <w:vAlign w:val="top"/>
          </w:tcPr>
          <w:p>
            <w:pPr>
              <w:spacing w:line="280" w:lineRule="exact"/>
              <w:rPr>
                <w:color w:val="auto"/>
                <w:sz w:val="24"/>
              </w:rPr>
            </w:pPr>
          </w:p>
        </w:tc>
        <w:tc>
          <w:tcPr>
            <w:tcW w:w="2835" w:type="dxa"/>
            <w:vAlign w:val="top"/>
          </w:tcPr>
          <w:p>
            <w:pPr>
              <w:spacing w:line="280" w:lineRule="exact"/>
              <w:rPr>
                <w:color w:val="auto"/>
                <w:sz w:val="24"/>
              </w:rPr>
            </w:pPr>
            <w:r>
              <w:rPr>
                <w:color w:val="auto"/>
                <w:sz w:val="24"/>
              </w:rPr>
              <w:t>Member Opposition</w:t>
            </w:r>
          </w:p>
        </w:tc>
        <w:tc>
          <w:tcPr>
            <w:tcW w:w="2065" w:type="dxa"/>
            <w:vAlign w:val="top"/>
          </w:tcPr>
          <w:p>
            <w:pPr>
              <w:spacing w:line="280" w:lineRule="exact"/>
              <w:rPr>
                <w:color w:val="auto"/>
                <w:sz w:val="24"/>
              </w:rPr>
            </w:pPr>
            <w:r>
              <w:rPr>
                <w:color w:val="auto"/>
                <w:sz w:val="24"/>
              </w:rPr>
              <w:t>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 w:hRule="atLeast"/>
        </w:trPr>
        <w:tc>
          <w:tcPr>
            <w:tcW w:w="2977" w:type="dxa"/>
            <w:shd w:val="clear" w:color="auto" w:fill="auto"/>
            <w:vAlign w:val="top"/>
          </w:tcPr>
          <w:p>
            <w:pPr>
              <w:spacing w:line="280" w:lineRule="exact"/>
              <w:rPr>
                <w:color w:val="auto"/>
                <w:sz w:val="24"/>
              </w:rPr>
            </w:pPr>
            <w:r>
              <w:rPr>
                <w:color w:val="auto"/>
                <w:sz w:val="24"/>
              </w:rPr>
              <w:t>Proposition Whip</w:t>
            </w:r>
          </w:p>
        </w:tc>
        <w:tc>
          <w:tcPr>
            <w:tcW w:w="1417" w:type="dxa"/>
            <w:shd w:val="clear" w:color="auto" w:fill="auto"/>
            <w:vAlign w:val="top"/>
          </w:tcPr>
          <w:p>
            <w:pPr>
              <w:spacing w:line="280" w:lineRule="exact"/>
              <w:rPr>
                <w:color w:val="auto"/>
                <w:sz w:val="24"/>
              </w:rPr>
            </w:pPr>
            <w:r>
              <w:rPr>
                <w:color w:val="auto"/>
                <w:sz w:val="24"/>
              </w:rPr>
              <w:t>Points:</w:t>
            </w:r>
          </w:p>
        </w:tc>
        <w:tc>
          <w:tcPr>
            <w:tcW w:w="284" w:type="dxa"/>
            <w:vMerge w:val="continue"/>
            <w:shd w:val="clear" w:color="auto" w:fill="7F7F7F"/>
            <w:vAlign w:val="top"/>
          </w:tcPr>
          <w:p>
            <w:pPr>
              <w:spacing w:line="280" w:lineRule="exact"/>
              <w:rPr>
                <w:color w:val="auto"/>
                <w:sz w:val="24"/>
              </w:rPr>
            </w:pPr>
          </w:p>
        </w:tc>
        <w:tc>
          <w:tcPr>
            <w:tcW w:w="2835" w:type="dxa"/>
            <w:vAlign w:val="top"/>
          </w:tcPr>
          <w:p>
            <w:pPr>
              <w:spacing w:line="280" w:lineRule="exact"/>
              <w:rPr>
                <w:color w:val="auto"/>
                <w:sz w:val="24"/>
              </w:rPr>
            </w:pPr>
            <w:r>
              <w:rPr>
                <w:color w:val="auto"/>
                <w:sz w:val="24"/>
              </w:rPr>
              <w:t>Opposition Whip</w:t>
            </w:r>
          </w:p>
        </w:tc>
        <w:tc>
          <w:tcPr>
            <w:tcW w:w="2065" w:type="dxa"/>
            <w:vAlign w:val="top"/>
          </w:tcPr>
          <w:p>
            <w:pPr>
              <w:spacing w:line="280" w:lineRule="exact"/>
              <w:rPr>
                <w:color w:val="auto"/>
                <w:sz w:val="24"/>
              </w:rPr>
            </w:pPr>
            <w:r>
              <w:rPr>
                <w:color w:val="auto"/>
                <w:sz w:val="24"/>
              </w:rPr>
              <w:t>Points:</w:t>
            </w:r>
          </w:p>
        </w:tc>
      </w:tr>
    </w:tbl>
    <w:p>
      <w:pPr>
        <w:spacing w:line="400" w:lineRule="exact"/>
        <w:ind w:left="840" w:hanging="840" w:hangingChars="350"/>
        <w:rPr>
          <w:color w:val="auto"/>
          <w:sz w:val="24"/>
        </w:rPr>
      </w:pPr>
      <w:r>
        <w:rPr>
          <w:color w:val="auto"/>
          <w:sz w:val="24"/>
        </w:rPr>
        <w:t xml:space="preserve"> (Note: Each team should be ranked 1</w:t>
      </w:r>
      <w:r>
        <w:rPr>
          <w:color w:val="auto"/>
          <w:sz w:val="24"/>
          <w:vertAlign w:val="superscript"/>
        </w:rPr>
        <w:t>st</w:t>
      </w:r>
      <w:r>
        <w:rPr>
          <w:color w:val="auto"/>
          <w:sz w:val="24"/>
        </w:rPr>
        <w:t>, 2</w:t>
      </w:r>
      <w:r>
        <w:rPr>
          <w:color w:val="auto"/>
          <w:sz w:val="24"/>
          <w:vertAlign w:val="superscript"/>
        </w:rPr>
        <w:t>nd</w:t>
      </w:r>
      <w:r>
        <w:rPr>
          <w:color w:val="auto"/>
          <w:sz w:val="24"/>
        </w:rPr>
        <w:t xml:space="preserve"> , 3</w:t>
      </w:r>
      <w:r>
        <w:rPr>
          <w:color w:val="auto"/>
          <w:sz w:val="24"/>
          <w:vertAlign w:val="superscript"/>
        </w:rPr>
        <w:t>rd</w:t>
      </w:r>
      <w:r>
        <w:rPr>
          <w:color w:val="auto"/>
          <w:sz w:val="24"/>
        </w:rPr>
        <w:t xml:space="preserve"> or 4</w:t>
      </w:r>
      <w:r>
        <w:rPr>
          <w:color w:val="auto"/>
          <w:sz w:val="24"/>
          <w:vertAlign w:val="superscript"/>
        </w:rPr>
        <w:t>th</w:t>
      </w:r>
      <w:r>
        <w:rPr>
          <w:color w:val="auto"/>
          <w:sz w:val="24"/>
        </w:rPr>
        <w:t xml:space="preserve"> . Provide 1-100 speaker points for each speaker.)</w:t>
      </w:r>
    </w:p>
    <w:p>
      <w:pPr>
        <w:spacing w:line="400" w:lineRule="exact"/>
        <w:rPr>
          <w:color w:val="auto"/>
          <w:sz w:val="24"/>
        </w:rPr>
      </w:pPr>
      <w:r>
        <w:rPr>
          <w:color w:val="auto"/>
          <w:sz w:val="24"/>
        </w:rPr>
        <w:t>Please provide reasons for your rankings:</w:t>
      </w:r>
    </w:p>
    <w:p/>
    <w:sectPr>
      <w:headerReference r:id="rId3" w:type="default"/>
      <w:footerReference r:id="rId4" w:type="default"/>
      <w:footerReference r:id="rId5" w:type="even"/>
      <w:pgSz w:w="11906" w:h="16838"/>
      <w:pgMar w:top="851" w:right="1021" w:bottom="737" w:left="107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center"/>
    </w:pPr>
    <w:r>
      <w:rPr>
        <w:rFonts w:hint="eastAsia" w:ascii="宋体" w:hAnsi="宋体" w:cs="宋体"/>
        <w:kern w:val="0"/>
        <w:szCs w:val="21"/>
      </w:rPr>
      <w:t>第</w:t>
    </w: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w:t>
    </w:r>
    <w:r>
      <w:rPr>
        <w:rFonts w:hint="eastAsia" w:ascii="宋体" w:hAnsi="宋体" w:cs="宋体"/>
        <w:kern w:val="0"/>
        <w:szCs w:val="21"/>
      </w:rPr>
      <w:t>页</w:t>
    </w:r>
    <w:r>
      <w:rPr>
        <w:kern w:val="0"/>
        <w:szCs w:val="21"/>
      </w:rPr>
      <w:t xml:space="preserve"> </w:t>
    </w:r>
    <w:r>
      <w:rPr>
        <w:rFonts w:hint="eastAsia" w:ascii="宋体" w:hAnsi="宋体" w:cs="宋体"/>
        <w:kern w:val="0"/>
        <w:szCs w:val="21"/>
      </w:rPr>
      <w:t>共</w:t>
    </w:r>
    <w:r>
      <w:rPr>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Pr>
        <w:kern w:val="0"/>
        <w:szCs w:val="21"/>
      </w:rPr>
      <w:t>8</w:t>
    </w:r>
    <w:r>
      <w:rPr>
        <w:kern w:val="0"/>
        <w:szCs w:val="21"/>
      </w:rPr>
      <w:fldChar w:fldCharType="end"/>
    </w:r>
    <w:r>
      <w:rPr>
        <w:rFonts w:hint="eastAsia"/>
        <w:kern w:val="0"/>
        <w:szCs w:val="21"/>
      </w:rPr>
      <w:t xml:space="preserve"> </w:t>
    </w:r>
    <w:r>
      <w:rPr>
        <w:rFonts w:hint="eastAsia" w:ascii="宋体" w:hAnsi="宋体" w:cs="宋体"/>
        <w:kern w:val="0"/>
        <w:szCs w:val="21"/>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separate"/>
    </w:r>
    <w:r>
      <w:rPr>
        <w:rStyle w:val="5"/>
      </w:rPr>
      <w:t>1</w: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A538B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2016-10-25T10:11:44Z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