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ind w:firstLine="540" w:firstLineChars="180"/>
        <w:jc w:val="left"/>
        <w:outlineLvl w:val="0"/>
        <w:rPr>
          <w:rFonts w:eastAsia="黑体"/>
          <w:color w:val="auto"/>
          <w:kern w:val="0"/>
          <w:sz w:val="24"/>
        </w:rPr>
      </w:pPr>
      <w:r>
        <w:rPr>
          <w:rFonts w:eastAsia="黑体"/>
          <w:color w:val="auto"/>
          <w:kern w:val="0"/>
          <w:sz w:val="24"/>
        </w:rPr>
        <w:t>附件1：</w:t>
      </w:r>
    </w:p>
    <w:p>
      <w:pPr>
        <w:spacing w:line="520" w:lineRule="exact"/>
        <w:ind w:firstLine="280" w:firstLineChars="100"/>
        <w:jc w:val="center"/>
        <w:rPr>
          <w:rFonts w:eastAsia="仿宋_GB2312"/>
          <w:b/>
          <w:color w:val="auto"/>
          <w:kern w:val="0"/>
          <w:sz w:val="28"/>
          <w:szCs w:val="28"/>
        </w:rPr>
      </w:pPr>
      <w:r>
        <w:rPr>
          <w:rFonts w:eastAsia="仿宋_GB2312"/>
          <w:b/>
          <w:color w:val="auto"/>
          <w:kern w:val="0"/>
          <w:sz w:val="28"/>
          <w:szCs w:val="28"/>
        </w:rPr>
        <w:t>湘潭大学第</w:t>
      </w:r>
      <w:r>
        <w:rPr>
          <w:rFonts w:hint="eastAsia" w:eastAsia="仿宋_GB2312"/>
          <w:b/>
          <w:color w:val="auto"/>
          <w:kern w:val="0"/>
          <w:sz w:val="28"/>
          <w:szCs w:val="28"/>
        </w:rPr>
        <w:t>六</w:t>
      </w:r>
      <w:r>
        <w:rPr>
          <w:rFonts w:eastAsia="仿宋_GB2312"/>
          <w:b/>
          <w:color w:val="auto"/>
          <w:kern w:val="0"/>
          <w:sz w:val="28"/>
          <w:szCs w:val="28"/>
        </w:rPr>
        <w:t>届“百灵鸟杯”英语辩论赛暨第</w:t>
      </w:r>
      <w:r>
        <w:rPr>
          <w:rFonts w:hint="eastAsia" w:eastAsia="仿宋_GB2312"/>
          <w:b/>
          <w:color w:val="auto"/>
          <w:kern w:val="0"/>
          <w:sz w:val="28"/>
          <w:szCs w:val="28"/>
        </w:rPr>
        <w:t>二十届</w:t>
      </w:r>
    </w:p>
    <w:p>
      <w:pPr>
        <w:spacing w:line="520" w:lineRule="exact"/>
        <w:ind w:firstLine="280" w:firstLineChars="100"/>
        <w:jc w:val="center"/>
        <w:rPr>
          <w:rFonts w:hint="eastAsia" w:eastAsia="仿宋_GB2312"/>
          <w:b/>
          <w:color w:val="auto"/>
          <w:kern w:val="0"/>
          <w:sz w:val="28"/>
          <w:szCs w:val="28"/>
        </w:rPr>
      </w:pPr>
      <w:r>
        <w:rPr>
          <w:rFonts w:eastAsia="仿宋_GB2312"/>
          <w:b/>
          <w:color w:val="auto"/>
          <w:kern w:val="0"/>
          <w:sz w:val="28"/>
          <w:szCs w:val="28"/>
        </w:rPr>
        <w:t>“外研社杯”全国英语辩论赛校内选拔赛报名名额分配表</w:t>
      </w:r>
    </w:p>
    <w:tbl>
      <w:tblPr>
        <w:tblStyle w:val="3"/>
        <w:tblW w:w="9450" w:type="dxa"/>
        <w:tblInd w:w="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2"/>
        <w:gridCol w:w="4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学院名称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代表队数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哲学</w:t>
            </w:r>
            <w:r>
              <w:rPr>
                <w:rFonts w:hint="eastAsia" w:eastAsia="仿宋_GB2312"/>
                <w:color w:val="auto"/>
                <w:sz w:val="24"/>
              </w:rPr>
              <w:t>系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历史系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旅游管理学院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公共管理学院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商学院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法学院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文学与新闻学院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外国语学院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艺术学院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数学与计算科学学院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材料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科学与工程学院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物理与光电工程学院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化工学院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化学学院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机械工程学院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信息工程学院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土木工程与力学学院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兴湘学院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环境与资源学院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研究生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院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722" w:type="dxa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  <w:bookmarkStart w:id="0" w:name="_GoBack"/>
            <w:r>
              <w:rPr>
                <w:rFonts w:eastAsia="仿宋_GB2312"/>
                <w:color w:val="auto"/>
                <w:sz w:val="24"/>
              </w:rPr>
              <w:t>合计</w:t>
            </w:r>
          </w:p>
        </w:tc>
        <w:tc>
          <w:tcPr>
            <w:tcW w:w="4728" w:type="dxa"/>
            <w:vAlign w:val="center"/>
          </w:tcPr>
          <w:p>
            <w:pPr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3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619E0"/>
    <w:rsid w:val="43BF7A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2016-10-25T10:08:25Z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