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2FD" w:rsidRDefault="005112FD">
      <w:pPr>
        <w:spacing w:line="480" w:lineRule="exact"/>
        <w:rPr>
          <w:b/>
          <w:sz w:val="44"/>
          <w:szCs w:val="44"/>
        </w:rPr>
      </w:pPr>
    </w:p>
    <w:p w:rsidR="005112FD" w:rsidRDefault="009B01B3">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第十届大学生研究性学习和创新性实验计划项目申报表</w:t>
      </w:r>
    </w:p>
    <w:p w:rsidR="005112FD" w:rsidRDefault="005112FD"/>
    <w:tbl>
      <w:tblPr>
        <w:tblStyle w:val="aff"/>
        <w:tblW w:w="9854" w:type="dxa"/>
        <w:tblLayout w:type="fixed"/>
        <w:tblLook w:val="04A0" w:firstRow="1" w:lastRow="0" w:firstColumn="1" w:lastColumn="0" w:noHBand="0" w:noVBand="1"/>
      </w:tblPr>
      <w:tblGrid>
        <w:gridCol w:w="4927"/>
        <w:gridCol w:w="4927"/>
      </w:tblGrid>
      <w:tr w:rsidR="005112FD">
        <w:tc>
          <w:tcPr>
            <w:tcW w:w="4927" w:type="dxa"/>
          </w:tcPr>
          <w:p w:rsidR="005112FD" w:rsidRDefault="009B01B3">
            <w:r>
              <w:rPr>
                <w:rFonts w:hint="eastAsia"/>
              </w:rPr>
              <w:t>项目名称</w:t>
            </w:r>
          </w:p>
        </w:tc>
        <w:tc>
          <w:tcPr>
            <w:tcW w:w="4927" w:type="dxa"/>
          </w:tcPr>
          <w:p w:rsidR="005112FD" w:rsidRDefault="009B01B3">
            <w:pPr>
              <w:tabs>
                <w:tab w:val="left" w:pos="654"/>
              </w:tabs>
              <w:spacing w:line="360" w:lineRule="auto"/>
            </w:pPr>
            <w:r>
              <w:rPr>
                <w:rFonts w:ascii="仿宋" w:eastAsia="仿宋" w:hAnsi="仿宋" w:cs="仿宋" w:hint="eastAsia"/>
                <w:sz w:val="28"/>
                <w:szCs w:val="28"/>
              </w:rPr>
              <w:t>荧光</w:t>
            </w:r>
            <w:r>
              <w:rPr>
                <w:rFonts w:ascii="仿宋" w:eastAsia="仿宋" w:hAnsi="仿宋" w:cs="仿宋" w:hint="eastAsia"/>
                <w:sz w:val="28"/>
                <w:szCs w:val="28"/>
              </w:rPr>
              <w:t>-</w:t>
            </w:r>
            <w:r>
              <w:rPr>
                <w:rFonts w:ascii="仿宋" w:eastAsia="仿宋" w:hAnsi="仿宋" w:cs="仿宋" w:hint="eastAsia"/>
                <w:sz w:val="28"/>
                <w:szCs w:val="28"/>
              </w:rPr>
              <w:t>磷光转化类“开</w:t>
            </w:r>
            <w:r>
              <w:rPr>
                <w:rFonts w:ascii="仿宋" w:eastAsia="仿宋" w:hAnsi="仿宋" w:cs="仿宋" w:hint="eastAsia"/>
                <w:sz w:val="28"/>
                <w:szCs w:val="28"/>
              </w:rPr>
              <w:t>-</w:t>
            </w:r>
            <w:r>
              <w:rPr>
                <w:rFonts w:ascii="仿宋" w:eastAsia="仿宋" w:hAnsi="仿宋" w:cs="仿宋" w:hint="eastAsia"/>
                <w:sz w:val="28"/>
                <w:szCs w:val="28"/>
              </w:rPr>
              <w:t>关”分子的合成与性能研究</w:t>
            </w:r>
          </w:p>
        </w:tc>
      </w:tr>
      <w:tr w:rsidR="005112FD">
        <w:tc>
          <w:tcPr>
            <w:tcW w:w="4927" w:type="dxa"/>
          </w:tcPr>
          <w:p w:rsidR="005112FD" w:rsidRDefault="009B01B3">
            <w:r>
              <w:rPr>
                <w:rFonts w:hint="eastAsia"/>
              </w:rPr>
              <w:t>项目类别</w:t>
            </w:r>
          </w:p>
        </w:tc>
        <w:tc>
          <w:tcPr>
            <w:tcW w:w="4927" w:type="dxa"/>
          </w:tcPr>
          <w:p w:rsidR="005112FD" w:rsidRDefault="009B01B3">
            <w:r>
              <w:rPr>
                <w:rFonts w:hint="eastAsia"/>
              </w:rPr>
              <w:t>创新训练项目</w:t>
            </w:r>
            <w:r>
              <w:rPr>
                <w:rFonts w:eastAsia="楷体_GB2312"/>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5112FD">
        <w:tc>
          <w:tcPr>
            <w:tcW w:w="4927" w:type="dxa"/>
          </w:tcPr>
          <w:p w:rsidR="005112FD" w:rsidRDefault="009B01B3">
            <w:r>
              <w:rPr>
                <w:rFonts w:hint="eastAsia"/>
              </w:rPr>
              <w:t>项目科类</w:t>
            </w:r>
          </w:p>
        </w:tc>
        <w:tc>
          <w:tcPr>
            <w:tcW w:w="4927" w:type="dxa"/>
          </w:tcPr>
          <w:p w:rsidR="005112FD" w:rsidRDefault="009B01B3">
            <w:r>
              <w:rPr>
                <w:rFonts w:hint="eastAsia"/>
              </w:rPr>
              <w:t>文科类</w:t>
            </w:r>
            <w:r>
              <w:rPr>
                <w:rFonts w:eastAsia="楷体_GB2312"/>
                <w:sz w:val="44"/>
                <w:szCs w:val="44"/>
              </w:rPr>
              <w:t xml:space="preserve">□ </w:t>
            </w:r>
            <w:r>
              <w:rPr>
                <w:rFonts w:ascii="微软雅黑" w:hAnsi="微软雅黑" w:cs="微软雅黑" w:hint="eastAsia"/>
              </w:rPr>
              <w:t>理科类</w:t>
            </w:r>
            <w:r>
              <w:rPr>
                <w:rFonts w:eastAsia="楷体_GB2312"/>
                <w:sz w:val="44"/>
                <w:szCs w:val="44"/>
              </w:rPr>
              <w:t xml:space="preserve">□ </w:t>
            </w:r>
          </w:p>
        </w:tc>
      </w:tr>
      <w:tr w:rsidR="005112FD">
        <w:trPr>
          <w:trHeight w:val="1026"/>
        </w:trPr>
        <w:tc>
          <w:tcPr>
            <w:tcW w:w="4927" w:type="dxa"/>
          </w:tcPr>
          <w:p w:rsidR="005112FD" w:rsidRDefault="009B01B3">
            <w:r>
              <w:rPr>
                <w:rFonts w:hint="eastAsia"/>
              </w:rPr>
              <w:t>项目级别</w:t>
            </w:r>
          </w:p>
        </w:tc>
        <w:tc>
          <w:tcPr>
            <w:tcW w:w="4927" w:type="dxa"/>
          </w:tcPr>
          <w:p w:rsidR="005112FD" w:rsidRDefault="009B01B3">
            <w:pPr>
              <w:rPr>
                <w:rFonts w:eastAsia="楷体_GB2312"/>
                <w:sz w:val="44"/>
                <w:szCs w:val="44"/>
              </w:rPr>
            </w:pPr>
            <w:r>
              <w:rPr>
                <w:rFonts w:hint="eastAsia"/>
              </w:rPr>
              <w:t>省部级</w:t>
            </w:r>
            <w:r>
              <w:rPr>
                <w:rFonts w:eastAsia="楷体_GB2312"/>
                <w:color w:val="000000" w:themeColor="text1"/>
                <w:sz w:val="44"/>
                <w:szCs w:val="44"/>
              </w:rPr>
              <w:t>□</w:t>
            </w:r>
            <w:r>
              <w:rPr>
                <w:rFonts w:ascii="微软雅黑" w:hAnsi="微软雅黑" w:cs="微软雅黑" w:hint="eastAsia"/>
              </w:rPr>
              <w:t>，如省部级淘汰是否申请转校级</w:t>
            </w:r>
            <w:r>
              <w:rPr>
                <w:rFonts w:eastAsia="楷体_GB2312"/>
                <w:sz w:val="44"/>
                <w:szCs w:val="44"/>
              </w:rPr>
              <w:t xml:space="preserve">□ </w:t>
            </w:r>
          </w:p>
          <w:p w:rsidR="005112FD" w:rsidRDefault="009B01B3">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5112FD">
        <w:tc>
          <w:tcPr>
            <w:tcW w:w="4927" w:type="dxa"/>
          </w:tcPr>
          <w:p w:rsidR="005112FD" w:rsidRDefault="009B01B3">
            <w:r>
              <w:rPr>
                <w:rFonts w:hint="eastAsia"/>
              </w:rPr>
              <w:t>项目主持人</w:t>
            </w:r>
          </w:p>
        </w:tc>
        <w:tc>
          <w:tcPr>
            <w:tcW w:w="4927" w:type="dxa"/>
          </w:tcPr>
          <w:p w:rsidR="005112FD" w:rsidRDefault="009B01B3">
            <w:pPr>
              <w:ind w:left="180"/>
              <w:jc w:val="center"/>
              <w:rPr>
                <w:rFonts w:ascii="仿宋" w:eastAsia="仿宋" w:hAnsi="仿宋" w:cs="仿宋"/>
                <w:sz w:val="28"/>
                <w:szCs w:val="28"/>
              </w:rPr>
            </w:pPr>
            <w:r>
              <w:rPr>
                <w:rFonts w:ascii="仿宋" w:eastAsia="仿宋" w:hAnsi="仿宋" w:cs="仿宋" w:hint="eastAsia"/>
                <w:sz w:val="28"/>
                <w:szCs w:val="28"/>
              </w:rPr>
              <w:t>杨恺鹏</w:t>
            </w:r>
          </w:p>
        </w:tc>
      </w:tr>
      <w:tr w:rsidR="005112FD">
        <w:tc>
          <w:tcPr>
            <w:tcW w:w="4927" w:type="dxa"/>
          </w:tcPr>
          <w:p w:rsidR="005112FD" w:rsidRDefault="009B01B3">
            <w:r>
              <w:rPr>
                <w:rFonts w:hint="eastAsia"/>
              </w:rPr>
              <w:t>学生所在学院</w:t>
            </w:r>
          </w:p>
        </w:tc>
        <w:tc>
          <w:tcPr>
            <w:tcW w:w="4927" w:type="dxa"/>
          </w:tcPr>
          <w:p w:rsidR="005112FD" w:rsidRDefault="009B01B3">
            <w:pPr>
              <w:spacing w:line="400" w:lineRule="exact"/>
              <w:ind w:left="180"/>
              <w:jc w:val="center"/>
              <w:rPr>
                <w:rFonts w:ascii="仿宋" w:eastAsia="仿宋" w:hAnsi="仿宋" w:cs="仿宋"/>
                <w:sz w:val="28"/>
                <w:szCs w:val="28"/>
              </w:rPr>
            </w:pPr>
            <w:r>
              <w:rPr>
                <w:rFonts w:ascii="仿宋" w:eastAsia="仿宋" w:hAnsi="仿宋" w:cs="仿宋" w:hint="eastAsia"/>
                <w:sz w:val="28"/>
                <w:szCs w:val="28"/>
              </w:rPr>
              <w:t>化学学院</w:t>
            </w:r>
          </w:p>
        </w:tc>
      </w:tr>
      <w:tr w:rsidR="005112FD">
        <w:trPr>
          <w:trHeight w:val="90"/>
        </w:trPr>
        <w:tc>
          <w:tcPr>
            <w:tcW w:w="4927" w:type="dxa"/>
          </w:tcPr>
          <w:p w:rsidR="005112FD" w:rsidRDefault="005112FD">
            <w:bookmarkStart w:id="1" w:name="_GoBack"/>
            <w:bookmarkEnd w:id="1"/>
          </w:p>
        </w:tc>
        <w:tc>
          <w:tcPr>
            <w:tcW w:w="4927" w:type="dxa"/>
          </w:tcPr>
          <w:p w:rsidR="005112FD" w:rsidRDefault="005112FD">
            <w:pPr>
              <w:spacing w:line="400" w:lineRule="exact"/>
              <w:ind w:left="180"/>
              <w:jc w:val="center"/>
              <w:rPr>
                <w:rFonts w:ascii="仿宋" w:eastAsia="仿宋" w:hAnsi="仿宋" w:cs="仿宋"/>
                <w:sz w:val="28"/>
                <w:szCs w:val="28"/>
              </w:rPr>
            </w:pPr>
          </w:p>
        </w:tc>
      </w:tr>
      <w:tr w:rsidR="005112FD">
        <w:tc>
          <w:tcPr>
            <w:tcW w:w="4927" w:type="dxa"/>
          </w:tcPr>
          <w:p w:rsidR="005112FD" w:rsidRDefault="005112FD"/>
        </w:tc>
        <w:tc>
          <w:tcPr>
            <w:tcW w:w="4927" w:type="dxa"/>
          </w:tcPr>
          <w:p w:rsidR="005112FD" w:rsidRDefault="005112FD">
            <w:pPr>
              <w:spacing w:line="400" w:lineRule="exact"/>
              <w:ind w:left="180"/>
              <w:jc w:val="center"/>
              <w:rPr>
                <w:rFonts w:ascii="仿宋" w:eastAsia="仿宋" w:hAnsi="仿宋" w:cs="仿宋"/>
                <w:sz w:val="28"/>
                <w:szCs w:val="28"/>
              </w:rPr>
            </w:pPr>
          </w:p>
        </w:tc>
      </w:tr>
      <w:tr w:rsidR="005112FD">
        <w:tc>
          <w:tcPr>
            <w:tcW w:w="4927" w:type="dxa"/>
          </w:tcPr>
          <w:p w:rsidR="005112FD" w:rsidRDefault="009B01B3">
            <w:r>
              <w:rPr>
                <w:rFonts w:hint="eastAsia"/>
              </w:rPr>
              <w:t>指导老师</w:t>
            </w:r>
          </w:p>
        </w:tc>
        <w:tc>
          <w:tcPr>
            <w:tcW w:w="4927" w:type="dxa"/>
          </w:tcPr>
          <w:p w:rsidR="005112FD" w:rsidRDefault="009B01B3">
            <w:pPr>
              <w:spacing w:line="400" w:lineRule="exact"/>
              <w:ind w:left="180"/>
              <w:jc w:val="center"/>
              <w:rPr>
                <w:rFonts w:ascii="仿宋" w:eastAsia="仿宋" w:hAnsi="仿宋" w:cs="仿宋"/>
                <w:sz w:val="28"/>
                <w:szCs w:val="28"/>
              </w:rPr>
            </w:pPr>
            <w:r>
              <w:rPr>
                <w:rFonts w:ascii="仿宋" w:eastAsia="仿宋" w:hAnsi="仿宋" w:cs="仿宋" w:hint="eastAsia"/>
                <w:sz w:val="28"/>
                <w:szCs w:val="28"/>
              </w:rPr>
              <w:t>谢鹤楼</w:t>
            </w:r>
          </w:p>
        </w:tc>
      </w:tr>
      <w:tr w:rsidR="005112FD">
        <w:tc>
          <w:tcPr>
            <w:tcW w:w="4927" w:type="dxa"/>
          </w:tcPr>
          <w:p w:rsidR="005112FD" w:rsidRDefault="009B01B3">
            <w:r>
              <w:rPr>
                <w:rFonts w:hint="eastAsia"/>
              </w:rPr>
              <w:t>填表日期</w:t>
            </w:r>
          </w:p>
        </w:tc>
        <w:tc>
          <w:tcPr>
            <w:tcW w:w="4927" w:type="dxa"/>
          </w:tcPr>
          <w:p w:rsidR="005112FD" w:rsidRDefault="009B01B3">
            <w:pPr>
              <w:jc w:val="center"/>
              <w:rPr>
                <w:sz w:val="28"/>
                <w:szCs w:val="28"/>
              </w:rPr>
            </w:pPr>
            <w:r>
              <w:rPr>
                <w:rFonts w:ascii="仿宋" w:eastAsia="仿宋" w:hAnsi="仿宋" w:cs="仿宋" w:hint="eastAsia"/>
                <w:sz w:val="28"/>
                <w:szCs w:val="28"/>
              </w:rPr>
              <w:t>2018.3.12</w:t>
            </w:r>
          </w:p>
        </w:tc>
      </w:tr>
    </w:tbl>
    <w:p w:rsidR="005112FD" w:rsidRDefault="005112FD"/>
    <w:p w:rsidR="005112FD" w:rsidRDefault="005112FD"/>
    <w:p w:rsidR="005112FD" w:rsidRDefault="005112FD">
      <w:pPr>
        <w:jc w:val="center"/>
        <w:rPr>
          <w:b/>
          <w:sz w:val="28"/>
        </w:rPr>
      </w:pPr>
    </w:p>
    <w:p w:rsidR="005112FD" w:rsidRDefault="009B01B3">
      <w:pPr>
        <w:jc w:val="center"/>
        <w:rPr>
          <w:b/>
          <w:sz w:val="28"/>
        </w:rPr>
      </w:pPr>
      <w:r>
        <w:rPr>
          <w:rFonts w:hint="eastAsia"/>
          <w:b/>
          <w:sz w:val="28"/>
        </w:rPr>
        <w:t>湘潭大学教务处制</w:t>
      </w:r>
    </w:p>
    <w:p w:rsidR="005112FD" w:rsidRDefault="009B01B3">
      <w:pPr>
        <w:rPr>
          <w:rFonts w:eastAsia="仿宋_GB2312"/>
        </w:rPr>
      </w:pPr>
      <w:r>
        <w:rPr>
          <w:rFonts w:eastAsia="仿宋_GB2312"/>
        </w:rPr>
        <w:br w:type="page"/>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1"/>
        <w:gridCol w:w="515"/>
        <w:gridCol w:w="612"/>
        <w:gridCol w:w="2100"/>
        <w:gridCol w:w="840"/>
        <w:gridCol w:w="1404"/>
        <w:gridCol w:w="929"/>
      </w:tblGrid>
      <w:tr w:rsidR="005112FD">
        <w:trPr>
          <w:trHeight w:val="630"/>
        </w:trPr>
        <w:tc>
          <w:tcPr>
            <w:tcW w:w="9366" w:type="dxa"/>
            <w:gridSpan w:val="8"/>
            <w:vAlign w:val="center"/>
          </w:tcPr>
          <w:p w:rsidR="005112FD" w:rsidRDefault="009B01B3">
            <w:pPr>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8"/>
                <w:szCs w:val="28"/>
              </w:rPr>
              <w:t>荧光</w:t>
            </w:r>
            <w:r>
              <w:rPr>
                <w:rFonts w:ascii="仿宋" w:eastAsia="仿宋" w:hAnsi="仿宋" w:cs="仿宋" w:hint="eastAsia"/>
                <w:sz w:val="28"/>
                <w:szCs w:val="28"/>
              </w:rPr>
              <w:t>-</w:t>
            </w:r>
            <w:r>
              <w:rPr>
                <w:rFonts w:ascii="仿宋" w:eastAsia="仿宋" w:hAnsi="仿宋" w:cs="仿宋" w:hint="eastAsia"/>
                <w:sz w:val="28"/>
                <w:szCs w:val="28"/>
              </w:rPr>
              <w:t>磷光转化类“开</w:t>
            </w:r>
            <w:r>
              <w:rPr>
                <w:rFonts w:ascii="仿宋" w:eastAsia="仿宋" w:hAnsi="仿宋" w:cs="仿宋" w:hint="eastAsia"/>
                <w:sz w:val="28"/>
                <w:szCs w:val="28"/>
              </w:rPr>
              <w:t>-</w:t>
            </w:r>
            <w:r>
              <w:rPr>
                <w:rFonts w:ascii="仿宋" w:eastAsia="仿宋" w:hAnsi="仿宋" w:cs="仿宋" w:hint="eastAsia"/>
                <w:sz w:val="28"/>
                <w:szCs w:val="28"/>
              </w:rPr>
              <w:t>关”分子的合成与性能研究</w:t>
            </w:r>
          </w:p>
        </w:tc>
      </w:tr>
      <w:tr w:rsidR="005112FD">
        <w:trPr>
          <w:trHeight w:hRule="exact" w:val="414"/>
        </w:trPr>
        <w:tc>
          <w:tcPr>
            <w:tcW w:w="1345" w:type="dxa"/>
            <w:vAlign w:val="center"/>
          </w:tcPr>
          <w:p w:rsidR="005112FD" w:rsidRDefault="009B01B3">
            <w:pPr>
              <w:spacing w:line="400" w:lineRule="exact"/>
              <w:ind w:left="180"/>
              <w:rPr>
                <w:rFonts w:eastAsia="楷体_GB2312"/>
                <w:sz w:val="28"/>
                <w:szCs w:val="28"/>
              </w:rPr>
            </w:pPr>
            <w:r>
              <w:rPr>
                <w:rFonts w:eastAsia="楷体_GB2312" w:hint="eastAsia"/>
                <w:sz w:val="28"/>
                <w:szCs w:val="28"/>
              </w:rPr>
              <w:t>学生姓名</w:t>
            </w:r>
          </w:p>
        </w:tc>
        <w:tc>
          <w:tcPr>
            <w:tcW w:w="2136" w:type="dxa"/>
            <w:gridSpan w:val="2"/>
            <w:vAlign w:val="center"/>
          </w:tcPr>
          <w:p w:rsidR="005112FD" w:rsidRDefault="009B01B3">
            <w:pPr>
              <w:spacing w:line="400" w:lineRule="exact"/>
              <w:jc w:val="center"/>
              <w:rPr>
                <w:rFonts w:eastAsia="楷体_GB2312"/>
                <w:sz w:val="28"/>
                <w:szCs w:val="28"/>
              </w:rPr>
            </w:pPr>
            <w:r>
              <w:rPr>
                <w:rFonts w:eastAsia="楷体_GB2312" w:hint="eastAsia"/>
                <w:sz w:val="28"/>
                <w:szCs w:val="28"/>
              </w:rPr>
              <w:t>学号</w:t>
            </w:r>
          </w:p>
        </w:tc>
        <w:tc>
          <w:tcPr>
            <w:tcW w:w="2712" w:type="dxa"/>
            <w:gridSpan w:val="2"/>
            <w:vAlign w:val="center"/>
          </w:tcPr>
          <w:p w:rsidR="005112FD" w:rsidRDefault="009B01B3">
            <w:pPr>
              <w:spacing w:line="400" w:lineRule="exact"/>
              <w:jc w:val="center"/>
              <w:rPr>
                <w:rFonts w:eastAsia="楷体_GB2312"/>
                <w:sz w:val="28"/>
                <w:szCs w:val="28"/>
              </w:rPr>
            </w:pPr>
            <w:r>
              <w:rPr>
                <w:rFonts w:eastAsia="楷体_GB2312" w:hint="eastAsia"/>
                <w:sz w:val="28"/>
                <w:szCs w:val="28"/>
              </w:rPr>
              <w:t>专业名称</w:t>
            </w:r>
          </w:p>
        </w:tc>
        <w:tc>
          <w:tcPr>
            <w:tcW w:w="840" w:type="dxa"/>
            <w:vAlign w:val="center"/>
          </w:tcPr>
          <w:p w:rsidR="005112FD" w:rsidRDefault="009B01B3">
            <w:pPr>
              <w:spacing w:line="400" w:lineRule="exact"/>
              <w:jc w:val="center"/>
              <w:rPr>
                <w:rFonts w:eastAsia="楷体_GB2312"/>
                <w:sz w:val="28"/>
                <w:szCs w:val="28"/>
              </w:rPr>
            </w:pPr>
            <w:r>
              <w:rPr>
                <w:rFonts w:eastAsia="楷体_GB2312" w:hint="eastAsia"/>
                <w:sz w:val="28"/>
                <w:szCs w:val="28"/>
              </w:rPr>
              <w:t>性别</w:t>
            </w:r>
          </w:p>
        </w:tc>
        <w:tc>
          <w:tcPr>
            <w:tcW w:w="1404" w:type="dxa"/>
            <w:vAlign w:val="center"/>
          </w:tcPr>
          <w:p w:rsidR="005112FD" w:rsidRDefault="009B01B3">
            <w:pPr>
              <w:spacing w:line="400" w:lineRule="exact"/>
              <w:jc w:val="center"/>
              <w:rPr>
                <w:rFonts w:eastAsia="楷体_GB2312"/>
                <w:sz w:val="28"/>
                <w:szCs w:val="28"/>
              </w:rPr>
            </w:pPr>
            <w:r>
              <w:rPr>
                <w:rFonts w:eastAsia="楷体_GB2312" w:hint="eastAsia"/>
                <w:sz w:val="28"/>
                <w:szCs w:val="28"/>
              </w:rPr>
              <w:t>入学年份</w:t>
            </w:r>
          </w:p>
        </w:tc>
        <w:tc>
          <w:tcPr>
            <w:tcW w:w="929" w:type="dxa"/>
            <w:vAlign w:val="center"/>
          </w:tcPr>
          <w:p w:rsidR="005112FD" w:rsidRDefault="009B01B3">
            <w:pPr>
              <w:spacing w:line="400" w:lineRule="exact"/>
              <w:jc w:val="center"/>
              <w:rPr>
                <w:rFonts w:eastAsia="楷体_GB2312"/>
                <w:sz w:val="28"/>
                <w:szCs w:val="28"/>
              </w:rPr>
            </w:pPr>
            <w:r>
              <w:rPr>
                <w:rFonts w:eastAsia="楷体_GB2312" w:hint="eastAsia"/>
                <w:sz w:val="28"/>
                <w:szCs w:val="28"/>
              </w:rPr>
              <w:t>签名</w:t>
            </w:r>
          </w:p>
        </w:tc>
      </w:tr>
      <w:tr w:rsidR="005112FD">
        <w:trPr>
          <w:trHeight w:hRule="exact" w:val="454"/>
        </w:trPr>
        <w:tc>
          <w:tcPr>
            <w:tcW w:w="1345" w:type="dxa"/>
            <w:vAlign w:val="center"/>
          </w:tcPr>
          <w:p w:rsidR="005112FD" w:rsidRDefault="009B01B3">
            <w:pPr>
              <w:spacing w:line="400" w:lineRule="exact"/>
              <w:ind w:left="180"/>
              <w:jc w:val="center"/>
              <w:rPr>
                <w:rFonts w:eastAsia="楷体_GB2312"/>
                <w:sz w:val="28"/>
                <w:szCs w:val="28"/>
              </w:rPr>
            </w:pPr>
            <w:r>
              <w:rPr>
                <w:rFonts w:ascii="仿宋" w:eastAsia="仿宋" w:hAnsi="仿宋" w:cs="仿宋" w:hint="eastAsia"/>
                <w:sz w:val="28"/>
                <w:szCs w:val="28"/>
              </w:rPr>
              <w:t>杨恺鹏</w:t>
            </w:r>
          </w:p>
        </w:tc>
        <w:tc>
          <w:tcPr>
            <w:tcW w:w="2136" w:type="dxa"/>
            <w:gridSpan w:val="2"/>
            <w:vAlign w:val="center"/>
          </w:tcPr>
          <w:p w:rsidR="005112FD" w:rsidRDefault="009B01B3">
            <w:pPr>
              <w:spacing w:line="400" w:lineRule="exact"/>
              <w:ind w:left="180"/>
              <w:jc w:val="center"/>
              <w:rPr>
                <w:rFonts w:ascii="仿宋" w:eastAsia="仿宋" w:hAnsi="仿宋" w:cs="仿宋"/>
                <w:sz w:val="28"/>
                <w:szCs w:val="28"/>
              </w:rPr>
            </w:pPr>
            <w:r>
              <w:rPr>
                <w:rFonts w:ascii="仿宋" w:eastAsia="仿宋" w:hAnsi="仿宋" w:cs="仿宋" w:hint="eastAsia"/>
                <w:sz w:val="28"/>
                <w:szCs w:val="28"/>
              </w:rPr>
              <w:t>2016600821</w:t>
            </w:r>
          </w:p>
        </w:tc>
        <w:tc>
          <w:tcPr>
            <w:tcW w:w="2712" w:type="dxa"/>
            <w:gridSpan w:val="2"/>
            <w:vAlign w:val="center"/>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高分子材料与</w:t>
            </w:r>
            <w:r>
              <w:rPr>
                <w:rFonts w:ascii="仿宋" w:eastAsia="仿宋" w:hAnsi="仿宋" w:cs="仿宋" w:hint="eastAsia"/>
                <w:sz w:val="28"/>
                <w:szCs w:val="28"/>
              </w:rPr>
              <w:t>工</w:t>
            </w:r>
            <w:r>
              <w:rPr>
                <w:rFonts w:ascii="仿宋" w:eastAsia="仿宋" w:hAnsi="仿宋" w:cs="仿宋" w:hint="eastAsia"/>
                <w:sz w:val="28"/>
                <w:szCs w:val="28"/>
              </w:rPr>
              <w:t>程</w:t>
            </w:r>
          </w:p>
        </w:tc>
        <w:tc>
          <w:tcPr>
            <w:tcW w:w="840" w:type="dxa"/>
            <w:vAlign w:val="center"/>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男</w:t>
            </w:r>
          </w:p>
        </w:tc>
        <w:tc>
          <w:tcPr>
            <w:tcW w:w="1404" w:type="dxa"/>
            <w:vAlign w:val="center"/>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2016.09</w:t>
            </w:r>
          </w:p>
        </w:tc>
        <w:tc>
          <w:tcPr>
            <w:tcW w:w="929" w:type="dxa"/>
            <w:vAlign w:val="center"/>
          </w:tcPr>
          <w:p w:rsidR="005112FD" w:rsidRDefault="005112FD">
            <w:pPr>
              <w:spacing w:line="400" w:lineRule="exact"/>
              <w:jc w:val="center"/>
              <w:rPr>
                <w:rFonts w:eastAsia="楷体_GB2312"/>
                <w:sz w:val="28"/>
                <w:szCs w:val="28"/>
              </w:rPr>
            </w:pPr>
          </w:p>
        </w:tc>
      </w:tr>
      <w:tr w:rsidR="005112FD">
        <w:trPr>
          <w:trHeight w:hRule="exact" w:val="454"/>
        </w:trPr>
        <w:tc>
          <w:tcPr>
            <w:tcW w:w="1345" w:type="dxa"/>
          </w:tcPr>
          <w:p w:rsidR="005112FD" w:rsidRDefault="009B01B3">
            <w:pPr>
              <w:spacing w:line="400" w:lineRule="exact"/>
              <w:ind w:left="180"/>
              <w:jc w:val="center"/>
              <w:rPr>
                <w:rFonts w:ascii="仿宋" w:eastAsia="仿宋" w:hAnsi="仿宋" w:cs="仿宋"/>
                <w:sz w:val="28"/>
                <w:szCs w:val="28"/>
              </w:rPr>
            </w:pPr>
            <w:r>
              <w:rPr>
                <w:rFonts w:ascii="仿宋" w:eastAsia="仿宋" w:hAnsi="仿宋" w:cs="仿宋" w:hint="eastAsia"/>
                <w:sz w:val="28"/>
                <w:szCs w:val="28"/>
              </w:rPr>
              <w:t>黄江</w:t>
            </w:r>
          </w:p>
        </w:tc>
        <w:tc>
          <w:tcPr>
            <w:tcW w:w="2136" w:type="dxa"/>
            <w:gridSpan w:val="2"/>
          </w:tcPr>
          <w:p w:rsidR="005112FD" w:rsidRDefault="009B01B3">
            <w:pPr>
              <w:spacing w:line="400" w:lineRule="exact"/>
              <w:ind w:left="180"/>
              <w:jc w:val="center"/>
              <w:rPr>
                <w:rFonts w:ascii="仿宋" w:eastAsia="仿宋" w:hAnsi="仿宋" w:cs="仿宋"/>
                <w:sz w:val="28"/>
                <w:szCs w:val="28"/>
              </w:rPr>
            </w:pPr>
            <w:r>
              <w:rPr>
                <w:rFonts w:ascii="仿宋" w:eastAsia="仿宋" w:hAnsi="仿宋" w:cs="仿宋" w:hint="eastAsia"/>
                <w:sz w:val="28"/>
                <w:szCs w:val="28"/>
              </w:rPr>
              <w:t>2017056007</w:t>
            </w:r>
            <w:r>
              <w:rPr>
                <w:rFonts w:ascii="仿宋" w:eastAsia="仿宋" w:hAnsi="仿宋" w:cs="仿宋" w:hint="eastAsia"/>
                <w:sz w:val="28"/>
                <w:szCs w:val="28"/>
              </w:rPr>
              <w:t>1</w:t>
            </w:r>
            <w:r>
              <w:rPr>
                <w:rFonts w:ascii="仿宋" w:eastAsia="仿宋" w:hAnsi="仿宋" w:cs="仿宋" w:hint="eastAsia"/>
                <w:sz w:val="28"/>
                <w:szCs w:val="28"/>
              </w:rPr>
              <w:t>5</w:t>
            </w:r>
          </w:p>
        </w:tc>
        <w:tc>
          <w:tcPr>
            <w:tcW w:w="2712" w:type="dxa"/>
            <w:gridSpan w:val="2"/>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高分子材料与工程</w:t>
            </w:r>
          </w:p>
        </w:tc>
        <w:tc>
          <w:tcPr>
            <w:tcW w:w="840" w:type="dxa"/>
            <w:vAlign w:val="center"/>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男</w:t>
            </w:r>
          </w:p>
        </w:tc>
        <w:tc>
          <w:tcPr>
            <w:tcW w:w="1404" w:type="dxa"/>
            <w:vAlign w:val="center"/>
          </w:tcPr>
          <w:p w:rsidR="005112FD" w:rsidRDefault="009B01B3">
            <w:pPr>
              <w:spacing w:line="400" w:lineRule="exact"/>
              <w:ind w:left="180"/>
              <w:rPr>
                <w:rFonts w:ascii="仿宋" w:eastAsia="仿宋" w:hAnsi="仿宋" w:cs="仿宋"/>
                <w:sz w:val="28"/>
                <w:szCs w:val="28"/>
              </w:rPr>
            </w:pPr>
            <w:r>
              <w:rPr>
                <w:rFonts w:ascii="仿宋" w:eastAsia="仿宋" w:hAnsi="仿宋" w:cs="仿宋" w:hint="eastAsia"/>
                <w:sz w:val="28"/>
                <w:szCs w:val="28"/>
              </w:rPr>
              <w:t>2017.09</w:t>
            </w:r>
          </w:p>
        </w:tc>
        <w:tc>
          <w:tcPr>
            <w:tcW w:w="929" w:type="dxa"/>
            <w:vAlign w:val="center"/>
          </w:tcPr>
          <w:p w:rsidR="005112FD" w:rsidRDefault="005112FD">
            <w:pPr>
              <w:spacing w:line="400" w:lineRule="exact"/>
              <w:jc w:val="center"/>
              <w:rPr>
                <w:rFonts w:eastAsia="楷体_GB2312"/>
                <w:sz w:val="28"/>
                <w:szCs w:val="28"/>
              </w:rPr>
            </w:pPr>
          </w:p>
        </w:tc>
      </w:tr>
      <w:tr w:rsidR="005112FD">
        <w:trPr>
          <w:trHeight w:hRule="exact" w:val="454"/>
        </w:trPr>
        <w:tc>
          <w:tcPr>
            <w:tcW w:w="1345" w:type="dxa"/>
          </w:tcPr>
          <w:p w:rsidR="005112FD" w:rsidRDefault="005112FD">
            <w:pPr>
              <w:spacing w:line="400" w:lineRule="exact"/>
              <w:ind w:left="180"/>
              <w:jc w:val="center"/>
              <w:rPr>
                <w:rFonts w:ascii="仿宋" w:eastAsia="仿宋" w:hAnsi="仿宋" w:cs="仿宋"/>
                <w:sz w:val="28"/>
                <w:szCs w:val="28"/>
              </w:rPr>
            </w:pPr>
          </w:p>
        </w:tc>
        <w:tc>
          <w:tcPr>
            <w:tcW w:w="2136" w:type="dxa"/>
            <w:gridSpan w:val="2"/>
          </w:tcPr>
          <w:p w:rsidR="005112FD" w:rsidRDefault="005112FD">
            <w:pPr>
              <w:spacing w:line="400" w:lineRule="exact"/>
              <w:ind w:left="180"/>
              <w:jc w:val="center"/>
              <w:rPr>
                <w:rFonts w:ascii="仿宋" w:eastAsia="仿宋" w:hAnsi="仿宋" w:cs="仿宋"/>
                <w:sz w:val="28"/>
                <w:szCs w:val="28"/>
              </w:rPr>
            </w:pPr>
          </w:p>
        </w:tc>
        <w:tc>
          <w:tcPr>
            <w:tcW w:w="2712" w:type="dxa"/>
            <w:gridSpan w:val="2"/>
          </w:tcPr>
          <w:p w:rsidR="005112FD" w:rsidRDefault="005112FD">
            <w:pPr>
              <w:spacing w:line="400" w:lineRule="exact"/>
              <w:ind w:left="180"/>
              <w:jc w:val="center"/>
              <w:rPr>
                <w:rFonts w:ascii="仿宋" w:eastAsia="仿宋" w:hAnsi="仿宋" w:cs="仿宋"/>
                <w:sz w:val="28"/>
                <w:szCs w:val="28"/>
              </w:rPr>
            </w:pPr>
          </w:p>
        </w:tc>
        <w:tc>
          <w:tcPr>
            <w:tcW w:w="840" w:type="dxa"/>
            <w:vAlign w:val="center"/>
          </w:tcPr>
          <w:p w:rsidR="005112FD" w:rsidRDefault="005112FD">
            <w:pPr>
              <w:spacing w:line="400" w:lineRule="exact"/>
              <w:ind w:left="180"/>
              <w:jc w:val="center"/>
              <w:rPr>
                <w:rFonts w:ascii="仿宋" w:eastAsia="仿宋" w:hAnsi="仿宋" w:cs="仿宋"/>
                <w:sz w:val="28"/>
                <w:szCs w:val="28"/>
              </w:rPr>
            </w:pPr>
          </w:p>
        </w:tc>
        <w:tc>
          <w:tcPr>
            <w:tcW w:w="1404" w:type="dxa"/>
            <w:vAlign w:val="center"/>
          </w:tcPr>
          <w:p w:rsidR="005112FD" w:rsidRDefault="005112FD">
            <w:pPr>
              <w:spacing w:line="400" w:lineRule="exact"/>
              <w:ind w:left="180"/>
              <w:jc w:val="center"/>
              <w:rPr>
                <w:rFonts w:ascii="仿宋" w:eastAsia="仿宋" w:hAnsi="仿宋" w:cs="仿宋"/>
                <w:sz w:val="28"/>
                <w:szCs w:val="28"/>
              </w:rPr>
            </w:pPr>
          </w:p>
        </w:tc>
        <w:tc>
          <w:tcPr>
            <w:tcW w:w="929" w:type="dxa"/>
            <w:vAlign w:val="center"/>
          </w:tcPr>
          <w:p w:rsidR="005112FD" w:rsidRDefault="005112FD">
            <w:pPr>
              <w:spacing w:line="400" w:lineRule="exact"/>
              <w:jc w:val="center"/>
              <w:rPr>
                <w:rFonts w:eastAsia="楷体_GB2312"/>
                <w:sz w:val="28"/>
                <w:szCs w:val="28"/>
              </w:rPr>
            </w:pPr>
          </w:p>
        </w:tc>
      </w:tr>
      <w:tr w:rsidR="005112FD">
        <w:trPr>
          <w:trHeight w:hRule="exact" w:val="454"/>
        </w:trPr>
        <w:tc>
          <w:tcPr>
            <w:tcW w:w="1345" w:type="dxa"/>
            <w:vAlign w:val="center"/>
          </w:tcPr>
          <w:p w:rsidR="005112FD" w:rsidRDefault="005112FD">
            <w:pPr>
              <w:spacing w:line="400" w:lineRule="exact"/>
              <w:ind w:left="180"/>
              <w:jc w:val="center"/>
              <w:rPr>
                <w:rFonts w:ascii="仿宋" w:eastAsia="仿宋" w:hAnsi="仿宋" w:cs="仿宋"/>
                <w:sz w:val="24"/>
                <w:szCs w:val="24"/>
              </w:rPr>
            </w:pPr>
          </w:p>
        </w:tc>
        <w:tc>
          <w:tcPr>
            <w:tcW w:w="2136" w:type="dxa"/>
            <w:gridSpan w:val="2"/>
            <w:vAlign w:val="center"/>
          </w:tcPr>
          <w:p w:rsidR="005112FD" w:rsidRDefault="005112FD">
            <w:pPr>
              <w:spacing w:line="400" w:lineRule="exact"/>
              <w:jc w:val="center"/>
              <w:rPr>
                <w:rFonts w:eastAsia="楷体_GB2312"/>
                <w:sz w:val="28"/>
                <w:szCs w:val="28"/>
              </w:rPr>
            </w:pPr>
          </w:p>
        </w:tc>
        <w:tc>
          <w:tcPr>
            <w:tcW w:w="2712" w:type="dxa"/>
            <w:gridSpan w:val="2"/>
            <w:vAlign w:val="center"/>
          </w:tcPr>
          <w:p w:rsidR="005112FD" w:rsidRDefault="005112FD">
            <w:pPr>
              <w:spacing w:line="400" w:lineRule="exact"/>
              <w:jc w:val="center"/>
              <w:rPr>
                <w:rFonts w:eastAsia="楷体_GB2312"/>
                <w:sz w:val="28"/>
                <w:szCs w:val="28"/>
              </w:rPr>
            </w:pPr>
          </w:p>
        </w:tc>
        <w:tc>
          <w:tcPr>
            <w:tcW w:w="840" w:type="dxa"/>
            <w:vAlign w:val="center"/>
          </w:tcPr>
          <w:p w:rsidR="005112FD" w:rsidRDefault="005112FD">
            <w:pPr>
              <w:spacing w:line="400" w:lineRule="exact"/>
              <w:jc w:val="center"/>
              <w:rPr>
                <w:rFonts w:eastAsia="楷体_GB2312"/>
                <w:sz w:val="28"/>
                <w:szCs w:val="28"/>
              </w:rPr>
            </w:pPr>
          </w:p>
        </w:tc>
        <w:tc>
          <w:tcPr>
            <w:tcW w:w="1404" w:type="dxa"/>
            <w:vAlign w:val="center"/>
          </w:tcPr>
          <w:p w:rsidR="005112FD" w:rsidRDefault="005112FD">
            <w:pPr>
              <w:spacing w:line="400" w:lineRule="exact"/>
              <w:jc w:val="center"/>
              <w:rPr>
                <w:rFonts w:eastAsia="楷体_GB2312"/>
                <w:sz w:val="28"/>
                <w:szCs w:val="28"/>
              </w:rPr>
            </w:pPr>
          </w:p>
        </w:tc>
        <w:tc>
          <w:tcPr>
            <w:tcW w:w="929" w:type="dxa"/>
            <w:vAlign w:val="center"/>
          </w:tcPr>
          <w:p w:rsidR="005112FD" w:rsidRDefault="005112FD">
            <w:pPr>
              <w:spacing w:line="400" w:lineRule="exact"/>
              <w:jc w:val="center"/>
              <w:rPr>
                <w:rFonts w:eastAsia="楷体_GB2312"/>
                <w:sz w:val="28"/>
                <w:szCs w:val="28"/>
              </w:rPr>
            </w:pPr>
          </w:p>
        </w:tc>
      </w:tr>
      <w:tr w:rsidR="005112FD">
        <w:trPr>
          <w:trHeight w:hRule="exact" w:val="454"/>
        </w:trPr>
        <w:tc>
          <w:tcPr>
            <w:tcW w:w="1345" w:type="dxa"/>
            <w:vAlign w:val="center"/>
          </w:tcPr>
          <w:p w:rsidR="005112FD" w:rsidRDefault="005112FD">
            <w:pPr>
              <w:spacing w:line="400" w:lineRule="exact"/>
              <w:ind w:left="180"/>
              <w:jc w:val="center"/>
              <w:rPr>
                <w:rFonts w:eastAsia="楷体_GB2312"/>
                <w:sz w:val="28"/>
                <w:szCs w:val="28"/>
              </w:rPr>
            </w:pPr>
          </w:p>
        </w:tc>
        <w:tc>
          <w:tcPr>
            <w:tcW w:w="2136" w:type="dxa"/>
            <w:gridSpan w:val="2"/>
            <w:vAlign w:val="center"/>
          </w:tcPr>
          <w:p w:rsidR="005112FD" w:rsidRDefault="005112FD">
            <w:pPr>
              <w:spacing w:line="400" w:lineRule="exact"/>
              <w:jc w:val="center"/>
              <w:rPr>
                <w:rFonts w:eastAsia="楷体_GB2312"/>
                <w:sz w:val="28"/>
                <w:szCs w:val="28"/>
              </w:rPr>
            </w:pPr>
          </w:p>
        </w:tc>
        <w:tc>
          <w:tcPr>
            <w:tcW w:w="2712" w:type="dxa"/>
            <w:gridSpan w:val="2"/>
            <w:vAlign w:val="center"/>
          </w:tcPr>
          <w:p w:rsidR="005112FD" w:rsidRDefault="005112FD">
            <w:pPr>
              <w:spacing w:line="400" w:lineRule="exact"/>
              <w:jc w:val="center"/>
              <w:rPr>
                <w:rFonts w:eastAsia="楷体_GB2312"/>
                <w:sz w:val="28"/>
                <w:szCs w:val="28"/>
              </w:rPr>
            </w:pPr>
          </w:p>
        </w:tc>
        <w:tc>
          <w:tcPr>
            <w:tcW w:w="840" w:type="dxa"/>
            <w:vAlign w:val="center"/>
          </w:tcPr>
          <w:p w:rsidR="005112FD" w:rsidRDefault="005112FD">
            <w:pPr>
              <w:spacing w:line="400" w:lineRule="exact"/>
              <w:jc w:val="center"/>
              <w:rPr>
                <w:rFonts w:eastAsia="楷体_GB2312"/>
                <w:sz w:val="28"/>
                <w:szCs w:val="28"/>
              </w:rPr>
            </w:pPr>
          </w:p>
        </w:tc>
        <w:tc>
          <w:tcPr>
            <w:tcW w:w="1404" w:type="dxa"/>
            <w:vAlign w:val="center"/>
          </w:tcPr>
          <w:p w:rsidR="005112FD" w:rsidRDefault="005112FD">
            <w:pPr>
              <w:spacing w:line="400" w:lineRule="exact"/>
              <w:jc w:val="center"/>
              <w:rPr>
                <w:rFonts w:eastAsia="楷体_GB2312"/>
                <w:sz w:val="28"/>
                <w:szCs w:val="28"/>
              </w:rPr>
            </w:pPr>
          </w:p>
        </w:tc>
        <w:tc>
          <w:tcPr>
            <w:tcW w:w="929" w:type="dxa"/>
            <w:vAlign w:val="center"/>
          </w:tcPr>
          <w:p w:rsidR="005112FD" w:rsidRDefault="005112FD">
            <w:pPr>
              <w:spacing w:line="400" w:lineRule="exact"/>
              <w:jc w:val="center"/>
              <w:rPr>
                <w:rFonts w:eastAsia="楷体_GB2312"/>
                <w:sz w:val="28"/>
                <w:szCs w:val="28"/>
              </w:rPr>
            </w:pPr>
          </w:p>
        </w:tc>
      </w:tr>
      <w:tr w:rsidR="005112FD">
        <w:trPr>
          <w:trHeight w:val="585"/>
        </w:trPr>
        <w:tc>
          <w:tcPr>
            <w:tcW w:w="1345" w:type="dxa"/>
            <w:vAlign w:val="center"/>
          </w:tcPr>
          <w:p w:rsidR="005112FD" w:rsidRDefault="009B01B3">
            <w:pPr>
              <w:ind w:left="180"/>
              <w:jc w:val="center"/>
              <w:rPr>
                <w:rFonts w:eastAsia="楷体_GB2312"/>
                <w:sz w:val="28"/>
                <w:szCs w:val="28"/>
              </w:rPr>
            </w:pPr>
            <w:r>
              <w:rPr>
                <w:rFonts w:eastAsia="楷体_GB2312" w:hint="eastAsia"/>
                <w:sz w:val="28"/>
                <w:szCs w:val="28"/>
              </w:rPr>
              <w:t>指导教师</w:t>
            </w:r>
          </w:p>
        </w:tc>
        <w:tc>
          <w:tcPr>
            <w:tcW w:w="1621" w:type="dxa"/>
            <w:vAlign w:val="center"/>
          </w:tcPr>
          <w:p w:rsidR="005112FD" w:rsidRDefault="009B01B3">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谢鹤楼</w:t>
            </w:r>
          </w:p>
        </w:tc>
        <w:tc>
          <w:tcPr>
            <w:tcW w:w="1127" w:type="dxa"/>
            <w:gridSpan w:val="2"/>
            <w:vAlign w:val="center"/>
          </w:tcPr>
          <w:p w:rsidR="005112FD" w:rsidRDefault="009B01B3">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职称</w:t>
            </w:r>
          </w:p>
        </w:tc>
        <w:tc>
          <w:tcPr>
            <w:tcW w:w="2100" w:type="dxa"/>
            <w:vAlign w:val="center"/>
          </w:tcPr>
          <w:p w:rsidR="005112FD" w:rsidRDefault="009B01B3">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教授</w:t>
            </w:r>
          </w:p>
        </w:tc>
        <w:tc>
          <w:tcPr>
            <w:tcW w:w="2244" w:type="dxa"/>
            <w:gridSpan w:val="2"/>
            <w:vAlign w:val="center"/>
          </w:tcPr>
          <w:p w:rsidR="005112FD" w:rsidRDefault="009B01B3">
            <w:pPr>
              <w:jc w:val="center"/>
              <w:rPr>
                <w:rFonts w:eastAsia="楷体_GB2312"/>
                <w:sz w:val="28"/>
                <w:szCs w:val="28"/>
              </w:rPr>
            </w:pPr>
            <w:r>
              <w:rPr>
                <w:rFonts w:eastAsia="楷体_GB2312" w:hint="eastAsia"/>
                <w:sz w:val="28"/>
                <w:szCs w:val="28"/>
              </w:rPr>
              <w:t>项目所属一级学科</w:t>
            </w:r>
          </w:p>
        </w:tc>
        <w:tc>
          <w:tcPr>
            <w:tcW w:w="929" w:type="dxa"/>
            <w:vAlign w:val="center"/>
          </w:tcPr>
          <w:p w:rsidR="005112FD" w:rsidRDefault="009B01B3">
            <w:pPr>
              <w:spacing w:line="400" w:lineRule="exact"/>
              <w:ind w:left="180"/>
              <w:jc w:val="center"/>
              <w:rPr>
                <w:rFonts w:eastAsia="楷体_GB2312"/>
                <w:sz w:val="28"/>
                <w:szCs w:val="28"/>
              </w:rPr>
            </w:pPr>
            <w:r>
              <w:rPr>
                <w:rFonts w:ascii="仿宋" w:eastAsia="仿宋" w:hAnsi="仿宋" w:cs="仿宋" w:hint="eastAsia"/>
                <w:sz w:val="24"/>
                <w:szCs w:val="24"/>
              </w:rPr>
              <w:t>化学</w:t>
            </w:r>
          </w:p>
        </w:tc>
      </w:tr>
      <w:tr w:rsidR="005112FD">
        <w:trPr>
          <w:trHeight w:val="2677"/>
        </w:trPr>
        <w:tc>
          <w:tcPr>
            <w:tcW w:w="9366" w:type="dxa"/>
            <w:gridSpan w:val="8"/>
          </w:tcPr>
          <w:p w:rsidR="005112FD" w:rsidRDefault="009B01B3">
            <w:pPr>
              <w:rPr>
                <w:rFonts w:eastAsia="楷体_GB2312"/>
                <w:sz w:val="28"/>
                <w:szCs w:val="28"/>
              </w:rPr>
            </w:pPr>
            <w:r>
              <w:rPr>
                <w:rFonts w:eastAsia="楷体_GB2312" w:hint="eastAsia"/>
                <w:sz w:val="28"/>
                <w:szCs w:val="28"/>
              </w:rPr>
              <w:t>学生曾经参与科研或创业的情况</w:t>
            </w:r>
          </w:p>
          <w:p w:rsidR="005112FD" w:rsidRDefault="009B01B3">
            <w:pPr>
              <w:spacing w:after="240"/>
              <w:ind w:firstLineChars="200" w:firstLine="480"/>
              <w:rPr>
                <w:rFonts w:ascii="仿宋" w:eastAsia="仿宋" w:hAnsi="仿宋" w:cs="仿宋"/>
                <w:sz w:val="24"/>
                <w:szCs w:val="24"/>
              </w:rPr>
            </w:pPr>
            <w:r>
              <w:rPr>
                <w:rFonts w:ascii="仿宋" w:eastAsia="仿宋" w:hAnsi="仿宋" w:cs="仿宋" w:hint="eastAsia"/>
                <w:sz w:val="24"/>
                <w:szCs w:val="24"/>
              </w:rPr>
              <w:t>主持人及其小组成员在寒假阶段主动申请留校，通过查阅资料以及询问老师对该课题做了前期调研工作，发现该课题确实非常适合现阶段的我们去探讨和研究，</w:t>
            </w:r>
            <w:r>
              <w:rPr>
                <w:rFonts w:ascii="仿宋" w:eastAsia="仿宋" w:hAnsi="仿宋" w:cs="仿宋" w:hint="eastAsia"/>
                <w:sz w:val="24"/>
                <w:szCs w:val="24"/>
              </w:rPr>
              <w:t>主持人</w:t>
            </w:r>
            <w:r>
              <w:rPr>
                <w:rFonts w:ascii="仿宋" w:eastAsia="仿宋" w:hAnsi="仿宋" w:cs="仿宋" w:hint="eastAsia"/>
                <w:sz w:val="24"/>
                <w:szCs w:val="24"/>
              </w:rPr>
              <w:t>通过各种渠道取得谢鹤楼老师的联系方式，经过一番交谈，已取得他们的同意，同意让我们小组在谢老师的指导下来完成此次创新实验。并且组长在寒假阶段就已经进入谢老师实验室开始进行一些准备工作，已经初步掌握实验室基本操作及相关仪器使用，并进行了前期探索。</w:t>
            </w:r>
          </w:p>
        </w:tc>
      </w:tr>
      <w:tr w:rsidR="005112FD">
        <w:trPr>
          <w:trHeight w:val="890"/>
        </w:trPr>
        <w:tc>
          <w:tcPr>
            <w:tcW w:w="9366" w:type="dxa"/>
            <w:gridSpan w:val="8"/>
          </w:tcPr>
          <w:p w:rsidR="005112FD" w:rsidRDefault="009B01B3">
            <w:pPr>
              <w:rPr>
                <w:rFonts w:eastAsia="楷体_GB2312"/>
                <w:sz w:val="28"/>
                <w:szCs w:val="28"/>
              </w:rPr>
            </w:pPr>
            <w:r>
              <w:rPr>
                <w:rFonts w:eastAsia="楷体_GB2312" w:hint="eastAsia"/>
                <w:sz w:val="28"/>
                <w:szCs w:val="28"/>
              </w:rPr>
              <w:t>指导教师承担科研课题情况</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国家自然科学基金面上项目</w:t>
            </w:r>
            <w:r>
              <w:rPr>
                <w:rFonts w:ascii="仿宋" w:eastAsia="仿宋" w:hAnsi="仿宋" w:cs="仿宋" w:hint="eastAsia"/>
                <w:sz w:val="24"/>
                <w:szCs w:val="24"/>
              </w:rPr>
              <w:t>: </w:t>
            </w:r>
            <w:r>
              <w:rPr>
                <w:rFonts w:ascii="仿宋" w:eastAsia="仿宋" w:hAnsi="仿宋" w:cs="仿宋" w:hint="eastAsia"/>
                <w:sz w:val="24"/>
                <w:szCs w:val="24"/>
              </w:rPr>
              <w:t>“通过引导组装构筑结构可控的液晶纳米粒子聚合物”（</w:t>
            </w:r>
            <w:r>
              <w:rPr>
                <w:rFonts w:ascii="仿宋" w:eastAsia="仿宋" w:hAnsi="仿宋" w:cs="仿宋" w:hint="eastAsia"/>
                <w:sz w:val="24"/>
                <w:szCs w:val="24"/>
              </w:rPr>
              <w:t>21674088</w:t>
            </w:r>
            <w:r>
              <w:rPr>
                <w:rFonts w:ascii="仿宋" w:eastAsia="仿宋" w:hAnsi="仿宋" w:cs="仿宋" w:hint="eastAsia"/>
                <w:sz w:val="24"/>
                <w:szCs w:val="24"/>
              </w:rPr>
              <w:t>），</w:t>
            </w:r>
            <w:r>
              <w:rPr>
                <w:rFonts w:ascii="仿宋" w:eastAsia="仿宋" w:hAnsi="仿宋" w:cs="仿宋" w:hint="eastAsia"/>
                <w:sz w:val="24"/>
                <w:szCs w:val="24"/>
              </w:rPr>
              <w:t>2017-2020</w:t>
            </w:r>
            <w:r>
              <w:rPr>
                <w:rFonts w:ascii="仿宋" w:eastAsia="仿宋" w:hAnsi="仿宋" w:cs="仿宋" w:hint="eastAsia"/>
                <w:sz w:val="24"/>
                <w:szCs w:val="24"/>
              </w:rPr>
              <w:t>；</w:t>
            </w:r>
            <w:r>
              <w:rPr>
                <w:rFonts w:ascii="仿宋" w:eastAsia="仿宋" w:hAnsi="仿宋" w:cs="仿宋" w:hint="eastAsia"/>
                <w:sz w:val="24"/>
                <w:szCs w:val="24"/>
              </w:rPr>
              <w:t> </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(2) </w:t>
            </w:r>
            <w:r>
              <w:rPr>
                <w:rFonts w:ascii="仿宋" w:eastAsia="仿宋" w:hAnsi="仿宋" w:cs="仿宋" w:hint="eastAsia"/>
                <w:sz w:val="24"/>
                <w:szCs w:val="24"/>
              </w:rPr>
              <w:t>国家自然科学基金面上项目</w:t>
            </w:r>
            <w:r>
              <w:rPr>
                <w:rFonts w:ascii="仿宋" w:eastAsia="仿宋" w:hAnsi="仿宋" w:cs="仿宋" w:hint="eastAsia"/>
                <w:sz w:val="24"/>
                <w:szCs w:val="24"/>
              </w:rPr>
              <w:t>: </w:t>
            </w:r>
            <w:r>
              <w:rPr>
                <w:rFonts w:ascii="仿宋" w:eastAsia="仿宋" w:hAnsi="仿宋" w:cs="仿宋" w:hint="eastAsia"/>
                <w:sz w:val="24"/>
                <w:szCs w:val="24"/>
              </w:rPr>
              <w:t>“以多重氢键复合构筑自愈合型液晶弹性体”（</w:t>
            </w:r>
            <w:r>
              <w:rPr>
                <w:rFonts w:ascii="仿宋" w:eastAsia="仿宋" w:hAnsi="仿宋" w:cs="仿宋" w:hint="eastAsia"/>
                <w:sz w:val="24"/>
                <w:szCs w:val="24"/>
              </w:rPr>
              <w:t>21374092</w:t>
            </w:r>
            <w:r>
              <w:rPr>
                <w:rFonts w:ascii="仿宋" w:eastAsia="仿宋" w:hAnsi="仿宋" w:cs="仿宋" w:hint="eastAsia"/>
                <w:sz w:val="24"/>
                <w:szCs w:val="24"/>
              </w:rPr>
              <w:t>），</w:t>
            </w:r>
            <w:r>
              <w:rPr>
                <w:rFonts w:ascii="仿宋" w:eastAsia="仿宋" w:hAnsi="仿宋" w:cs="仿宋" w:hint="eastAsia"/>
                <w:sz w:val="24"/>
                <w:szCs w:val="24"/>
              </w:rPr>
              <w:t>2014-2017</w:t>
            </w:r>
            <w:r>
              <w:rPr>
                <w:rFonts w:ascii="仿宋" w:eastAsia="仿宋" w:hAnsi="仿宋" w:cs="仿宋" w:hint="eastAsia"/>
                <w:sz w:val="24"/>
                <w:szCs w:val="24"/>
              </w:rPr>
              <w:t>；</w:t>
            </w:r>
            <w:r>
              <w:rPr>
                <w:rFonts w:ascii="仿宋" w:eastAsia="仿宋" w:hAnsi="仿宋" w:cs="仿宋" w:hint="eastAsia"/>
                <w:sz w:val="24"/>
                <w:szCs w:val="24"/>
              </w:rPr>
              <w:t> </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(3) </w:t>
            </w:r>
            <w:r>
              <w:rPr>
                <w:rFonts w:ascii="仿宋" w:eastAsia="仿宋" w:hAnsi="仿宋" w:cs="仿宋" w:hint="eastAsia"/>
                <w:sz w:val="24"/>
                <w:szCs w:val="24"/>
              </w:rPr>
              <w:t>湖南省自然科学基金面上项目：“液晶纳米粒子复合物的引导组装”（</w:t>
            </w:r>
            <w:r>
              <w:rPr>
                <w:rFonts w:ascii="仿宋" w:eastAsia="仿宋" w:hAnsi="仿宋" w:cs="仿宋" w:hint="eastAsia"/>
                <w:sz w:val="24"/>
                <w:szCs w:val="24"/>
              </w:rPr>
              <w:t>2016JJ2127</w:t>
            </w:r>
            <w:r>
              <w:rPr>
                <w:rFonts w:ascii="仿宋" w:eastAsia="仿宋" w:hAnsi="仿宋" w:cs="仿宋" w:hint="eastAsia"/>
                <w:sz w:val="24"/>
                <w:szCs w:val="24"/>
              </w:rPr>
              <w:t>），</w:t>
            </w:r>
            <w:r>
              <w:rPr>
                <w:rFonts w:ascii="仿宋" w:eastAsia="仿宋" w:hAnsi="仿宋" w:cs="仿宋" w:hint="eastAsia"/>
                <w:sz w:val="24"/>
                <w:szCs w:val="24"/>
              </w:rPr>
              <w:t>2016-2018</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(4) </w:t>
            </w:r>
            <w:r>
              <w:rPr>
                <w:rFonts w:ascii="仿宋" w:eastAsia="仿宋" w:hAnsi="仿宋" w:cs="仿宋" w:hint="eastAsia"/>
                <w:sz w:val="24"/>
                <w:szCs w:val="24"/>
              </w:rPr>
              <w:t>国家自然科学基金青年基金</w:t>
            </w:r>
            <w:r>
              <w:rPr>
                <w:rFonts w:ascii="仿宋" w:eastAsia="仿宋" w:hAnsi="仿宋" w:cs="仿宋" w:hint="eastAsia"/>
                <w:sz w:val="24"/>
                <w:szCs w:val="24"/>
              </w:rPr>
              <w:t>: </w:t>
            </w:r>
            <w:r>
              <w:rPr>
                <w:rFonts w:ascii="仿宋" w:eastAsia="仿宋" w:hAnsi="仿宋" w:cs="仿宋" w:hint="eastAsia"/>
                <w:sz w:val="24"/>
                <w:szCs w:val="24"/>
              </w:rPr>
              <w:t>“具有多层次有序结构液晶离聚物的制备及其性能研究”（</w:t>
            </w:r>
            <w:r>
              <w:rPr>
                <w:rFonts w:ascii="仿宋" w:eastAsia="仿宋" w:hAnsi="仿宋" w:cs="仿宋" w:hint="eastAsia"/>
                <w:sz w:val="24"/>
                <w:szCs w:val="24"/>
              </w:rPr>
              <w:t>21104062</w:t>
            </w:r>
            <w:r>
              <w:rPr>
                <w:rFonts w:ascii="仿宋" w:eastAsia="仿宋" w:hAnsi="仿宋" w:cs="仿宋" w:hint="eastAsia"/>
                <w:sz w:val="24"/>
                <w:szCs w:val="24"/>
              </w:rPr>
              <w:t>），</w:t>
            </w:r>
            <w:r>
              <w:rPr>
                <w:rFonts w:ascii="仿宋" w:eastAsia="仿宋" w:hAnsi="仿宋" w:cs="仿宋" w:hint="eastAsia"/>
                <w:sz w:val="24"/>
                <w:szCs w:val="24"/>
              </w:rPr>
              <w:t>2012-20</w:t>
            </w:r>
            <w:r>
              <w:rPr>
                <w:rFonts w:ascii="仿宋" w:eastAsia="仿宋" w:hAnsi="仿宋" w:cs="仿宋" w:hint="eastAsia"/>
                <w:sz w:val="24"/>
                <w:szCs w:val="24"/>
              </w:rPr>
              <w:t>14</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(5) </w:t>
            </w:r>
            <w:r>
              <w:rPr>
                <w:rFonts w:ascii="仿宋" w:eastAsia="仿宋" w:hAnsi="仿宋" w:cs="仿宋" w:hint="eastAsia"/>
                <w:sz w:val="24"/>
                <w:szCs w:val="24"/>
              </w:rPr>
              <w:t>教育部博士点新教师基金：“新型功能型液晶离聚物的合成及其性能研究”（</w:t>
            </w:r>
            <w:r>
              <w:rPr>
                <w:rFonts w:ascii="仿宋" w:eastAsia="仿宋" w:hAnsi="仿宋" w:cs="仿宋" w:hint="eastAsia"/>
                <w:sz w:val="24"/>
                <w:szCs w:val="24"/>
              </w:rPr>
              <w:t>20114301120005</w:t>
            </w:r>
            <w:r>
              <w:rPr>
                <w:rFonts w:ascii="仿宋" w:eastAsia="仿宋" w:hAnsi="仿宋" w:cs="仿宋" w:hint="eastAsia"/>
                <w:sz w:val="24"/>
                <w:szCs w:val="24"/>
              </w:rPr>
              <w:t>），</w:t>
            </w:r>
            <w:r>
              <w:rPr>
                <w:rFonts w:ascii="仿宋" w:eastAsia="仿宋" w:hAnsi="仿宋" w:cs="仿宋" w:hint="eastAsia"/>
                <w:sz w:val="24"/>
                <w:szCs w:val="24"/>
              </w:rPr>
              <w:t>2012-2014</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(6) </w:t>
            </w:r>
            <w:r>
              <w:rPr>
                <w:rFonts w:ascii="仿宋" w:eastAsia="仿宋" w:hAnsi="仿宋" w:cs="仿宋" w:hint="eastAsia"/>
                <w:sz w:val="24"/>
                <w:szCs w:val="24"/>
              </w:rPr>
              <w:t>湖南省教育厅优秀青年项目：</w:t>
            </w:r>
            <w:r>
              <w:rPr>
                <w:rFonts w:ascii="仿宋" w:eastAsia="仿宋" w:hAnsi="仿宋" w:cs="仿宋" w:hint="eastAsia"/>
                <w:sz w:val="24"/>
                <w:szCs w:val="24"/>
              </w:rPr>
              <w:t> </w:t>
            </w:r>
            <w:r>
              <w:rPr>
                <w:rFonts w:ascii="仿宋" w:eastAsia="仿宋" w:hAnsi="仿宋" w:cs="仿宋" w:hint="eastAsia"/>
                <w:sz w:val="24"/>
                <w:szCs w:val="24"/>
              </w:rPr>
              <w:t>“具有多层次、多尺度有序结构的液晶嵌段共聚物的制备及其性能研究”（</w:t>
            </w:r>
            <w:r>
              <w:rPr>
                <w:rFonts w:ascii="仿宋" w:eastAsia="仿宋" w:hAnsi="仿宋" w:cs="仿宋" w:hint="eastAsia"/>
                <w:sz w:val="24"/>
                <w:szCs w:val="24"/>
              </w:rPr>
              <w:t>11B121</w:t>
            </w:r>
            <w:r>
              <w:rPr>
                <w:rFonts w:ascii="仿宋" w:eastAsia="仿宋" w:hAnsi="仿宋" w:cs="仿宋" w:hint="eastAsia"/>
                <w:sz w:val="24"/>
                <w:szCs w:val="24"/>
              </w:rPr>
              <w:t>），</w:t>
            </w:r>
            <w:r>
              <w:rPr>
                <w:rFonts w:ascii="仿宋" w:eastAsia="仿宋" w:hAnsi="仿宋" w:cs="仿宋" w:hint="eastAsia"/>
                <w:sz w:val="24"/>
                <w:szCs w:val="24"/>
              </w:rPr>
              <w:t>2011-2013</w:t>
            </w:r>
            <w:r>
              <w:rPr>
                <w:rFonts w:ascii="仿宋" w:eastAsia="仿宋" w:hAnsi="仿宋" w:cs="仿宋" w:hint="eastAsia"/>
                <w:sz w:val="24"/>
                <w:szCs w:val="24"/>
              </w:rPr>
              <w:t>；（主持。）</w:t>
            </w:r>
          </w:p>
          <w:p w:rsidR="005112FD" w:rsidRDefault="009B01B3">
            <w:pPr>
              <w:spacing w:after="0"/>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宋体" w:eastAsia="宋体" w:hAnsi="宋体" w:cs="宋体" w:hint="eastAsia"/>
                <w:sz w:val="24"/>
                <w:szCs w:val="24"/>
              </w:rPr>
              <w:t> </w:t>
            </w:r>
            <w:r>
              <w:rPr>
                <w:rFonts w:ascii="仿宋" w:eastAsia="仿宋" w:hAnsi="仿宋" w:cs="仿宋" w:hint="eastAsia"/>
                <w:sz w:val="24"/>
                <w:szCs w:val="24"/>
              </w:rPr>
              <w:t>湖南省自然科学基金青年项目：“具有多层次、多尺度有序结构的聚合物的制备及其性能研究”（</w:t>
            </w:r>
            <w:r>
              <w:rPr>
                <w:rFonts w:ascii="仿宋" w:eastAsia="仿宋" w:hAnsi="仿宋" w:cs="仿宋" w:hint="eastAsia"/>
                <w:sz w:val="24"/>
                <w:szCs w:val="24"/>
              </w:rPr>
              <w:t>11JJ4012</w:t>
            </w:r>
            <w:r>
              <w:rPr>
                <w:rFonts w:ascii="仿宋" w:eastAsia="仿宋" w:hAnsi="仿宋" w:cs="仿宋" w:hint="eastAsia"/>
                <w:sz w:val="24"/>
                <w:szCs w:val="24"/>
              </w:rPr>
              <w:t>），</w:t>
            </w:r>
            <w:r>
              <w:rPr>
                <w:rFonts w:ascii="仿宋" w:eastAsia="仿宋" w:hAnsi="仿宋" w:cs="仿宋" w:hint="eastAsia"/>
                <w:sz w:val="24"/>
                <w:szCs w:val="24"/>
              </w:rPr>
              <w:t>2012-2014</w:t>
            </w:r>
            <w:r>
              <w:rPr>
                <w:rFonts w:ascii="仿宋" w:eastAsia="仿宋" w:hAnsi="仿宋" w:cs="仿宋" w:hint="eastAsia"/>
                <w:sz w:val="24"/>
                <w:szCs w:val="24"/>
              </w:rPr>
              <w:t>。（主持。）</w:t>
            </w:r>
          </w:p>
          <w:p w:rsidR="005112FD" w:rsidRDefault="005112FD">
            <w:pPr>
              <w:spacing w:after="0"/>
              <w:ind w:firstLineChars="200" w:firstLine="480"/>
              <w:rPr>
                <w:rFonts w:ascii="仿宋" w:eastAsia="仿宋" w:hAnsi="仿宋" w:cs="仿宋"/>
                <w:sz w:val="24"/>
                <w:szCs w:val="24"/>
              </w:rPr>
            </w:pPr>
          </w:p>
          <w:p w:rsidR="005112FD" w:rsidRDefault="005112FD">
            <w:pPr>
              <w:spacing w:after="0"/>
              <w:ind w:firstLineChars="200" w:firstLine="480"/>
              <w:rPr>
                <w:rFonts w:ascii="仿宋" w:eastAsia="仿宋" w:hAnsi="仿宋" w:cs="仿宋"/>
                <w:sz w:val="24"/>
                <w:szCs w:val="24"/>
              </w:rPr>
            </w:pPr>
          </w:p>
          <w:p w:rsidR="005112FD" w:rsidRDefault="005112FD">
            <w:pPr>
              <w:spacing w:after="0"/>
              <w:ind w:firstLineChars="200" w:firstLine="480"/>
              <w:rPr>
                <w:rFonts w:ascii="仿宋" w:eastAsia="仿宋" w:hAnsi="仿宋" w:cs="仿宋"/>
                <w:sz w:val="24"/>
                <w:szCs w:val="24"/>
              </w:rPr>
            </w:pPr>
          </w:p>
          <w:p w:rsidR="005112FD" w:rsidRDefault="005112FD">
            <w:pPr>
              <w:spacing w:after="0"/>
              <w:ind w:firstLineChars="200" w:firstLine="480"/>
              <w:rPr>
                <w:rFonts w:ascii="仿宋" w:eastAsia="仿宋" w:hAnsi="仿宋" w:cs="仿宋"/>
                <w:sz w:val="24"/>
                <w:szCs w:val="24"/>
              </w:rPr>
            </w:pPr>
          </w:p>
          <w:p w:rsidR="005112FD" w:rsidRDefault="005112FD">
            <w:pPr>
              <w:spacing w:after="0"/>
              <w:ind w:firstLineChars="200" w:firstLine="480"/>
              <w:rPr>
                <w:rFonts w:ascii="仿宋" w:eastAsia="仿宋" w:hAnsi="仿宋" w:cs="仿宋"/>
                <w:sz w:val="24"/>
                <w:szCs w:val="24"/>
              </w:rPr>
            </w:pPr>
          </w:p>
          <w:p w:rsidR="005112FD" w:rsidRDefault="005112FD">
            <w:pPr>
              <w:spacing w:after="0"/>
              <w:ind w:firstLineChars="200" w:firstLine="480"/>
              <w:rPr>
                <w:rFonts w:ascii="仿宋" w:eastAsia="仿宋" w:hAnsi="仿宋" w:cs="仿宋"/>
                <w:sz w:val="24"/>
                <w:szCs w:val="24"/>
              </w:rPr>
            </w:pPr>
          </w:p>
        </w:tc>
      </w:tr>
      <w:tr w:rsidR="005112FD">
        <w:trPr>
          <w:trHeight w:val="90"/>
        </w:trPr>
        <w:tc>
          <w:tcPr>
            <w:tcW w:w="9366" w:type="dxa"/>
            <w:gridSpan w:val="8"/>
          </w:tcPr>
          <w:p w:rsidR="005112FD" w:rsidRDefault="009B01B3">
            <w:pPr>
              <w:rPr>
                <w:rFonts w:eastAsia="楷体_GB2312"/>
                <w:sz w:val="28"/>
                <w:szCs w:val="28"/>
              </w:rPr>
            </w:pPr>
            <w:r>
              <w:rPr>
                <w:rFonts w:eastAsia="楷体_GB2312" w:hint="eastAsia"/>
                <w:sz w:val="28"/>
                <w:szCs w:val="28"/>
              </w:rPr>
              <w:lastRenderedPageBreak/>
              <w:t>项目研究和实验的目的、内容和要解决的主要问题</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w:t>
            </w:r>
            <w:r>
              <w:rPr>
                <w:rFonts w:ascii="仿宋" w:eastAsia="仿宋" w:hAnsi="仿宋" w:cs="仿宋" w:hint="eastAsia"/>
                <w:b/>
                <w:sz w:val="24"/>
                <w:szCs w:val="24"/>
              </w:rPr>
              <w:t>、研究目标、研究内容和拟解决的关键问题</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1.1</w:t>
            </w:r>
            <w:r>
              <w:rPr>
                <w:rFonts w:ascii="仿宋" w:eastAsia="仿宋" w:hAnsi="仿宋" w:cs="仿宋" w:hint="eastAsia"/>
                <w:b/>
                <w:sz w:val="24"/>
                <w:szCs w:val="24"/>
              </w:rPr>
              <w:t>研究目标</w:t>
            </w:r>
          </w:p>
          <w:p w:rsidR="005112FD" w:rsidRDefault="009B01B3">
            <w:pPr>
              <w:spacing w:line="400" w:lineRule="exact"/>
              <w:ind w:left="180" w:firstLineChars="200" w:firstLine="480"/>
              <w:rPr>
                <w:rFonts w:ascii="仿宋" w:eastAsia="仿宋" w:hAnsi="仿宋" w:cs="仿宋"/>
                <w:sz w:val="24"/>
                <w:szCs w:val="24"/>
              </w:rPr>
            </w:pPr>
            <w:r>
              <w:rPr>
                <w:rFonts w:ascii="仿宋" w:eastAsia="仿宋" w:hAnsi="仿宋" w:cs="仿宋" w:hint="eastAsia"/>
                <w:sz w:val="24"/>
                <w:szCs w:val="24"/>
              </w:rPr>
              <w:t>通过合理的分子设计将</w:t>
            </w:r>
            <w:r>
              <w:rPr>
                <w:rFonts w:ascii="仿宋" w:eastAsia="仿宋" w:hAnsi="仿宋" w:cs="仿宋" w:hint="eastAsia"/>
                <w:sz w:val="24"/>
                <w:szCs w:val="24"/>
              </w:rPr>
              <w:t>AIE</w:t>
            </w:r>
            <w:r>
              <w:rPr>
                <w:rFonts w:ascii="仿宋" w:eastAsia="仿宋" w:hAnsi="仿宋" w:cs="仿宋" w:hint="eastAsia"/>
                <w:sz w:val="24"/>
                <w:szCs w:val="24"/>
              </w:rPr>
              <w:t>分子四苯乙烯通过</w:t>
            </w:r>
            <w:r>
              <w:rPr>
                <w:rFonts w:ascii="仿宋" w:eastAsia="仿宋" w:hAnsi="仿宋" w:cs="仿宋" w:hint="eastAsia"/>
                <w:sz w:val="24"/>
                <w:szCs w:val="24"/>
              </w:rPr>
              <w:t>C-S-C</w:t>
            </w:r>
            <w:r>
              <w:rPr>
                <w:rFonts w:ascii="仿宋" w:eastAsia="仿宋" w:hAnsi="仿宋" w:cs="仿宋" w:hint="eastAsia"/>
                <w:sz w:val="24"/>
                <w:szCs w:val="24"/>
              </w:rPr>
              <w:t>与三联吡啶结合，希望能制备一种具有双重聚集诱导发光效应的磷光分子。利用三联吡啶能与大部分金属离子络合比如镁离子可以构筑一种通过离子络合形成的高分子结构，由于络合前后会发生光由暗到亮的变化，因此可以作为一种很好的离子检测器。由于引入了四苯乙烯和</w:t>
            </w:r>
            <w:r>
              <w:rPr>
                <w:rFonts w:ascii="仿宋" w:eastAsia="仿宋" w:hAnsi="仿宋" w:cs="仿宋" w:hint="eastAsia"/>
                <w:sz w:val="24"/>
                <w:szCs w:val="24"/>
              </w:rPr>
              <w:t>C-S-C</w:t>
            </w:r>
            <w:r>
              <w:rPr>
                <w:rFonts w:ascii="仿宋" w:eastAsia="仿宋" w:hAnsi="仿宋" w:cs="仿宋" w:hint="eastAsia"/>
                <w:sz w:val="24"/>
                <w:szCs w:val="24"/>
              </w:rPr>
              <w:t>键的存在，其聚集的时候能发出高效率的磷光，有望在高效率磷光器件方面得到应用。</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1.2</w:t>
            </w:r>
            <w:r>
              <w:rPr>
                <w:rFonts w:ascii="仿宋" w:eastAsia="仿宋" w:hAnsi="仿宋" w:cs="仿宋" w:hint="eastAsia"/>
                <w:b/>
                <w:sz w:val="24"/>
                <w:szCs w:val="24"/>
              </w:rPr>
              <w:t>研究内容</w:t>
            </w:r>
          </w:p>
          <w:p w:rsidR="005112FD" w:rsidRDefault="009B01B3">
            <w:pPr>
              <w:spacing w:line="400" w:lineRule="exact"/>
              <w:ind w:left="180" w:firstLineChars="200" w:firstLine="480"/>
              <w:rPr>
                <w:rFonts w:ascii="仿宋" w:eastAsia="仿宋" w:hAnsi="仿宋" w:cs="仿宋"/>
                <w:sz w:val="24"/>
                <w:szCs w:val="24"/>
              </w:rPr>
            </w:pPr>
            <w:r>
              <w:rPr>
                <w:rFonts w:ascii="仿宋" w:eastAsia="仿宋" w:hAnsi="仿宋" w:cs="仿宋" w:hint="eastAsia"/>
                <w:sz w:val="24"/>
                <w:szCs w:val="24"/>
              </w:rPr>
              <w:t>本项目中试</w:t>
            </w:r>
            <w:r>
              <w:rPr>
                <w:rFonts w:ascii="仿宋" w:eastAsia="仿宋" w:hAnsi="仿宋" w:cs="仿宋" w:hint="eastAsia"/>
                <w:sz w:val="24"/>
                <w:szCs w:val="24"/>
              </w:rPr>
              <w:t>图以四苯乙烯为基础，通过简单地合成在其周围接上三联吡啶。具体的研究内容分为以下几部分：</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w:t>
            </w:r>
            <w:r>
              <w:rPr>
                <w:rFonts w:ascii="仿宋" w:eastAsia="仿宋" w:hAnsi="仿宋" w:cs="仿宋" w:hint="eastAsia"/>
                <w:b/>
                <w:sz w:val="24"/>
                <w:szCs w:val="24"/>
              </w:rPr>
              <w:t>）目标分子的合成</w:t>
            </w:r>
          </w:p>
          <w:p w:rsidR="005112FD" w:rsidRDefault="009B01B3">
            <w:pPr>
              <w:spacing w:line="400" w:lineRule="exact"/>
              <w:ind w:left="180" w:firstLineChars="200" w:firstLine="480"/>
              <w:rPr>
                <w:rFonts w:ascii="仿宋" w:eastAsia="仿宋" w:hAnsi="仿宋" w:cs="仿宋"/>
                <w:sz w:val="24"/>
                <w:szCs w:val="24"/>
              </w:rPr>
            </w:pPr>
            <w:r>
              <w:rPr>
                <w:rFonts w:ascii="仿宋" w:eastAsia="仿宋" w:hAnsi="仿宋" w:cs="仿宋" w:hint="eastAsia"/>
                <w:sz w:val="24"/>
                <w:szCs w:val="24"/>
              </w:rPr>
              <w:t>在该部分我们以</w:t>
            </w:r>
            <w:r>
              <w:rPr>
                <w:rFonts w:ascii="仿宋" w:eastAsia="仿宋" w:hAnsi="仿宋" w:cs="仿宋" w:hint="eastAsia"/>
                <w:sz w:val="24"/>
                <w:szCs w:val="24"/>
              </w:rPr>
              <w:t>4,4-</w:t>
            </w:r>
            <w:r>
              <w:rPr>
                <w:rFonts w:ascii="仿宋" w:eastAsia="仿宋" w:hAnsi="仿宋" w:cs="仿宋" w:hint="eastAsia"/>
                <w:sz w:val="24"/>
                <w:szCs w:val="24"/>
              </w:rPr>
              <w:t>二氯二苯甲酮合成四苯乙烯的氯代衍生物</w:t>
            </w:r>
            <w:r>
              <w:rPr>
                <w:rFonts w:ascii="仿宋" w:eastAsia="仿宋" w:hAnsi="仿宋" w:cs="仿宋" w:hint="eastAsia"/>
                <w:sz w:val="24"/>
                <w:szCs w:val="24"/>
              </w:rPr>
              <w:t>(TPE-CL)</w:t>
            </w:r>
            <w:r>
              <w:rPr>
                <w:rFonts w:ascii="仿宋" w:eastAsia="仿宋" w:hAnsi="仿宋" w:cs="仿宋" w:hint="eastAsia"/>
                <w:sz w:val="24"/>
                <w:szCs w:val="24"/>
              </w:rPr>
              <w:t>，以吡啶甲酮和硫甲基苯合成三联吡啶衍生物（</w:t>
            </w:r>
            <w:bookmarkStart w:id="2" w:name="OLE_LINK3"/>
            <w:r>
              <w:rPr>
                <w:rFonts w:ascii="仿宋" w:eastAsia="仿宋" w:hAnsi="仿宋" w:cs="仿宋" w:hint="eastAsia"/>
                <w:sz w:val="24"/>
                <w:szCs w:val="24"/>
              </w:rPr>
              <w:t>TPY-SH</w:t>
            </w:r>
            <w:bookmarkEnd w:id="2"/>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将</w:t>
            </w:r>
            <w:r>
              <w:rPr>
                <w:rFonts w:ascii="仿宋" w:eastAsia="仿宋" w:hAnsi="仿宋" w:cs="仿宋" w:hint="eastAsia"/>
                <w:sz w:val="24"/>
                <w:szCs w:val="24"/>
              </w:rPr>
              <w:t>TPE-CL</w:t>
            </w:r>
            <w:r>
              <w:rPr>
                <w:rFonts w:ascii="仿宋" w:eastAsia="仿宋" w:hAnsi="仿宋" w:cs="仿宋" w:hint="eastAsia"/>
                <w:sz w:val="24"/>
                <w:szCs w:val="24"/>
              </w:rPr>
              <w:t>和</w:t>
            </w:r>
            <w:r>
              <w:rPr>
                <w:rFonts w:ascii="仿宋" w:eastAsia="仿宋" w:hAnsi="仿宋" w:cs="仿宋" w:hint="eastAsia"/>
                <w:sz w:val="24"/>
                <w:szCs w:val="24"/>
              </w:rPr>
              <w:t>TPY-SH</w:t>
            </w:r>
            <w:r>
              <w:rPr>
                <w:rFonts w:ascii="仿宋" w:eastAsia="仿宋" w:hAnsi="仿宋" w:cs="仿宋" w:hint="eastAsia"/>
                <w:sz w:val="24"/>
                <w:szCs w:val="24"/>
              </w:rPr>
              <w:t>在</w:t>
            </w:r>
            <w:r>
              <w:rPr>
                <w:rFonts w:ascii="仿宋" w:eastAsia="仿宋" w:hAnsi="仿宋" w:cs="仿宋" w:hint="eastAsia"/>
                <w:sz w:val="24"/>
                <w:szCs w:val="24"/>
              </w:rPr>
              <w:t>60</w:t>
            </w:r>
            <w:r>
              <w:rPr>
                <w:rFonts w:ascii="仿宋" w:eastAsia="仿宋" w:hAnsi="仿宋" w:cs="仿宋" w:hint="eastAsia"/>
                <w:sz w:val="24"/>
                <w:szCs w:val="24"/>
              </w:rPr>
              <w:t>℃反应</w:t>
            </w:r>
            <w:r>
              <w:rPr>
                <w:rFonts w:ascii="仿宋" w:eastAsia="仿宋" w:hAnsi="仿宋" w:cs="仿宋" w:hint="eastAsia"/>
                <w:sz w:val="24"/>
                <w:szCs w:val="24"/>
              </w:rPr>
              <w:t>4</w:t>
            </w:r>
            <w:r>
              <w:rPr>
                <w:rFonts w:ascii="仿宋" w:eastAsia="仿宋" w:hAnsi="仿宋" w:cs="仿宋" w:hint="eastAsia"/>
                <w:sz w:val="24"/>
                <w:szCs w:val="24"/>
              </w:rPr>
              <w:t>天得到产物。</w:t>
            </w:r>
          </w:p>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0" distR="0">
                  <wp:extent cx="4340860" cy="215963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40905" cy="2160000"/>
                          </a:xfrm>
                          <a:prstGeom prst="rect">
                            <a:avLst/>
                          </a:prstGeom>
                        </pic:spPr>
                      </pic:pic>
                    </a:graphicData>
                  </a:graphic>
                </wp:inline>
              </w:drawing>
            </w:r>
          </w:p>
          <w:p w:rsidR="005112FD" w:rsidRDefault="009B01B3">
            <w:pPr>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5. </w:t>
            </w:r>
            <w:r>
              <w:rPr>
                <w:rFonts w:ascii="仿宋" w:eastAsia="仿宋" w:hAnsi="仿宋" w:cs="仿宋" w:hint="eastAsia"/>
                <w:sz w:val="24"/>
                <w:szCs w:val="24"/>
              </w:rPr>
              <w:t>预研中所设计的冷光分子示意图</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2</w:t>
            </w:r>
            <w:r>
              <w:rPr>
                <w:rFonts w:ascii="仿宋" w:eastAsia="仿宋" w:hAnsi="仿宋" w:cs="仿宋" w:hint="eastAsia"/>
                <w:b/>
                <w:sz w:val="24"/>
                <w:szCs w:val="24"/>
              </w:rPr>
              <w:t>）冷光分子光学性质研究</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配置浓度为</w:t>
            </w:r>
            <w:bookmarkStart w:id="3" w:name="OLE_LINK4"/>
            <w:r>
              <w:rPr>
                <w:rFonts w:ascii="仿宋" w:eastAsia="仿宋" w:hAnsi="仿宋" w:cs="仿宋" w:hint="eastAsia"/>
                <w:sz w:val="24"/>
                <w:szCs w:val="24"/>
              </w:rPr>
              <w:t>1x10-5</w:t>
            </w:r>
            <w:bookmarkEnd w:id="3"/>
            <w:r>
              <w:rPr>
                <w:rFonts w:ascii="仿宋" w:eastAsia="仿宋" w:hAnsi="仿宋" w:cs="仿宋" w:hint="eastAsia"/>
                <w:sz w:val="24"/>
                <w:szCs w:val="24"/>
              </w:rPr>
              <w:t>~1x10-6mol/L</w:t>
            </w:r>
            <w:r>
              <w:rPr>
                <w:rFonts w:ascii="仿宋" w:eastAsia="仿宋" w:hAnsi="仿宋" w:cs="仿宋" w:hint="eastAsia"/>
                <w:sz w:val="24"/>
                <w:szCs w:val="24"/>
              </w:rPr>
              <w:t>的溶液，首先测试</w:t>
            </w:r>
            <w:r>
              <w:rPr>
                <w:rFonts w:ascii="仿宋" w:eastAsia="仿宋" w:hAnsi="仿宋" w:cs="仿宋" w:hint="eastAsia"/>
                <w:sz w:val="24"/>
                <w:szCs w:val="24"/>
              </w:rPr>
              <w:t>TPE-S-4TPY</w:t>
            </w:r>
            <w:r>
              <w:rPr>
                <w:rFonts w:ascii="仿宋" w:eastAsia="仿宋" w:hAnsi="仿宋" w:cs="仿宋" w:hint="eastAsia"/>
                <w:sz w:val="24"/>
                <w:szCs w:val="24"/>
              </w:rPr>
              <w:t>本身的光学性能，由于其本身包含有</w:t>
            </w:r>
            <w:r>
              <w:rPr>
                <w:rFonts w:ascii="仿宋" w:eastAsia="仿宋" w:hAnsi="仿宋" w:cs="仿宋" w:hint="eastAsia"/>
                <w:sz w:val="24"/>
                <w:szCs w:val="24"/>
              </w:rPr>
              <w:t>AIE</w:t>
            </w:r>
            <w:r>
              <w:rPr>
                <w:rFonts w:ascii="仿宋" w:eastAsia="仿宋" w:hAnsi="仿宋" w:cs="仿宋" w:hint="eastAsia"/>
                <w:sz w:val="24"/>
                <w:szCs w:val="24"/>
              </w:rPr>
              <w:t>基团四苯乙烯所以应该具有典型的</w:t>
            </w:r>
            <w:r>
              <w:rPr>
                <w:rFonts w:ascii="仿宋" w:eastAsia="仿宋" w:hAnsi="仿宋" w:cs="仿宋" w:hint="eastAsia"/>
                <w:sz w:val="24"/>
                <w:szCs w:val="24"/>
              </w:rPr>
              <w:t>AIE</w:t>
            </w:r>
            <w:r>
              <w:rPr>
                <w:rFonts w:ascii="仿宋" w:eastAsia="仿宋" w:hAnsi="仿宋" w:cs="仿宋" w:hint="eastAsia"/>
                <w:sz w:val="24"/>
                <w:szCs w:val="24"/>
              </w:rPr>
              <w:t>分子的性质，其冷光强度会随着其聚集态变得密集而增强。由于三联吡啶可以与一些</w:t>
            </w:r>
            <w:r>
              <w:rPr>
                <w:rFonts w:ascii="仿宋" w:eastAsia="仿宋" w:hAnsi="仿宋" w:cs="仿宋" w:hint="eastAsia"/>
                <w:sz w:val="24"/>
                <w:szCs w:val="24"/>
              </w:rPr>
              <w:t>d6</w:t>
            </w:r>
            <w:r>
              <w:rPr>
                <w:rFonts w:ascii="仿宋" w:eastAsia="仿宋" w:hAnsi="仿宋" w:cs="仿宋" w:hint="eastAsia"/>
                <w:sz w:val="24"/>
                <w:szCs w:val="24"/>
              </w:rPr>
              <w:t>金属离子形成配位化合物所以我们同样需要研究其金属配合物的光学性能。分别研究其与</w:t>
            </w:r>
            <w:r>
              <w:rPr>
                <w:rFonts w:ascii="仿宋" w:eastAsia="仿宋" w:hAnsi="仿宋" w:cs="仿宋" w:hint="eastAsia"/>
                <w:sz w:val="24"/>
                <w:szCs w:val="24"/>
              </w:rPr>
              <w:t xml:space="preserve">Ca(ClO4)2, </w:t>
            </w:r>
            <w:r>
              <w:rPr>
                <w:rFonts w:ascii="仿宋" w:eastAsia="仿宋" w:hAnsi="仿宋" w:cs="仿宋" w:hint="eastAsia"/>
                <w:sz w:val="24"/>
                <w:szCs w:val="24"/>
              </w:rPr>
              <w:lastRenderedPageBreak/>
              <w:t>Mg(ClO4)2, Fe(CF3SO3)2, Co(ClO4)2, Ni(CF3SO3)2, Cu(CF3SO3)2, Zn(CF3SO3)2, Cd(ClO4)2.</w:t>
            </w:r>
            <w:r>
              <w:rPr>
                <w:rFonts w:ascii="仿宋" w:eastAsia="仿宋" w:hAnsi="仿宋" w:cs="仿宋" w:hint="eastAsia"/>
                <w:sz w:val="24"/>
                <w:szCs w:val="24"/>
              </w:rPr>
              <w:t>形成的配合物的光学性能。根据</w:t>
            </w:r>
            <w:r>
              <w:rPr>
                <w:rFonts w:ascii="仿宋" w:eastAsia="仿宋" w:hAnsi="仿宋" w:cs="仿宋" w:hint="eastAsia"/>
                <w:sz w:val="24"/>
                <w:szCs w:val="24"/>
              </w:rPr>
              <w:t>UV</w:t>
            </w:r>
            <w:r>
              <w:rPr>
                <w:rFonts w:ascii="仿宋" w:eastAsia="仿宋" w:hAnsi="仿宋" w:cs="仿宋" w:hint="eastAsia"/>
                <w:sz w:val="24"/>
                <w:szCs w:val="24"/>
              </w:rPr>
              <w:t>-Vis</w:t>
            </w:r>
            <w:r>
              <w:rPr>
                <w:rFonts w:ascii="仿宋" w:eastAsia="仿宋" w:hAnsi="仿宋" w:cs="仿宋" w:hint="eastAsia"/>
                <w:sz w:val="24"/>
                <w:szCs w:val="24"/>
              </w:rPr>
              <w:t>，和</w:t>
            </w:r>
            <w:r>
              <w:rPr>
                <w:rFonts w:ascii="仿宋" w:eastAsia="仿宋" w:hAnsi="仿宋" w:cs="仿宋" w:hint="eastAsia"/>
                <w:sz w:val="24"/>
                <w:szCs w:val="24"/>
              </w:rPr>
              <w:t>PL</w:t>
            </w:r>
            <w:r>
              <w:rPr>
                <w:rFonts w:ascii="仿宋" w:eastAsia="仿宋" w:hAnsi="仿宋" w:cs="仿宋" w:hint="eastAsia"/>
                <w:sz w:val="24"/>
                <w:szCs w:val="24"/>
              </w:rPr>
              <w:t>光谱找出最强荧光的配合物。本体样品的制备：</w:t>
            </w:r>
            <w:r>
              <w:rPr>
                <w:rFonts w:ascii="仿宋" w:eastAsia="仿宋" w:hAnsi="仿宋" w:cs="仿宋" w:hint="eastAsia"/>
                <w:sz w:val="24"/>
                <w:szCs w:val="24"/>
              </w:rPr>
              <w:t>TPE-S-4TPY</w:t>
            </w:r>
            <w:r>
              <w:rPr>
                <w:rFonts w:ascii="仿宋" w:eastAsia="仿宋" w:hAnsi="仿宋" w:cs="仿宋" w:hint="eastAsia"/>
                <w:sz w:val="24"/>
                <w:szCs w:val="24"/>
              </w:rPr>
              <w:t>的浓度为</w:t>
            </w:r>
            <w:r>
              <w:rPr>
                <w:rFonts w:ascii="仿宋" w:eastAsia="仿宋" w:hAnsi="仿宋" w:cs="仿宋" w:hint="eastAsia"/>
                <w:sz w:val="24"/>
                <w:szCs w:val="24"/>
              </w:rPr>
              <w:t xml:space="preserve">3.3 </w:t>
            </w:r>
            <w:r>
              <w:rPr>
                <w:rFonts w:ascii="仿宋" w:eastAsia="仿宋" w:hAnsi="仿宋" w:cs="仿宋" w:hint="eastAsia"/>
                <w:sz w:val="24"/>
                <w:szCs w:val="24"/>
              </w:rPr>
              <w:t>×</w:t>
            </w:r>
            <w:r>
              <w:rPr>
                <w:rFonts w:ascii="仿宋" w:eastAsia="仿宋" w:hAnsi="仿宋" w:cs="仿宋" w:hint="eastAsia"/>
                <w:sz w:val="24"/>
                <w:szCs w:val="24"/>
              </w:rPr>
              <w:t xml:space="preserve"> 10-6 M</w:t>
            </w:r>
            <w:r>
              <w:rPr>
                <w:rFonts w:ascii="仿宋" w:eastAsia="仿宋" w:hAnsi="仿宋" w:cs="仿宋" w:hint="eastAsia"/>
                <w:sz w:val="24"/>
                <w:szCs w:val="24"/>
              </w:rPr>
              <w:t>往其中加入</w:t>
            </w:r>
            <w:r>
              <w:rPr>
                <w:rFonts w:ascii="仿宋" w:eastAsia="仿宋" w:hAnsi="仿宋" w:cs="仿宋" w:hint="eastAsia"/>
                <w:sz w:val="24"/>
                <w:szCs w:val="24"/>
              </w:rPr>
              <w:t>2.5</w:t>
            </w:r>
            <w:r>
              <w:rPr>
                <w:rFonts w:ascii="仿宋" w:eastAsia="仿宋" w:hAnsi="仿宋" w:cs="仿宋" w:hint="eastAsia"/>
                <w:sz w:val="24"/>
                <w:szCs w:val="24"/>
              </w:rPr>
              <w:t>倍当量的相关金属化合物的</w:t>
            </w:r>
            <w:r>
              <w:rPr>
                <w:rFonts w:ascii="仿宋" w:eastAsia="仿宋" w:hAnsi="仿宋" w:cs="仿宋" w:hint="eastAsia"/>
                <w:sz w:val="24"/>
                <w:szCs w:val="24"/>
              </w:rPr>
              <w:t>THF</w:t>
            </w:r>
            <w:r>
              <w:rPr>
                <w:rFonts w:ascii="仿宋" w:eastAsia="仿宋" w:hAnsi="仿宋" w:cs="仿宋" w:hint="eastAsia"/>
                <w:sz w:val="24"/>
                <w:szCs w:val="24"/>
              </w:rPr>
              <w:t>溶液的样品，充分搅拌然后旋涂在石英片上就完成了样品的制备。通过对其金属配合物的本体样品的光学性质研究，探究其加入金属离子对其光学行为影响，及其形成的超分子自组装结构对光学性能的影响。</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3</w:t>
            </w:r>
            <w:r>
              <w:rPr>
                <w:rFonts w:ascii="仿宋" w:eastAsia="仿宋" w:hAnsi="仿宋" w:cs="仿宋" w:hint="eastAsia"/>
                <w:b/>
                <w:sz w:val="24"/>
                <w:szCs w:val="24"/>
              </w:rPr>
              <w:t>）冷光分子液晶相行为研究</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结合</w:t>
            </w:r>
            <w:r>
              <w:rPr>
                <w:rFonts w:ascii="仿宋" w:eastAsia="仿宋" w:hAnsi="仿宋" w:cs="仿宋" w:hint="eastAsia"/>
                <w:sz w:val="24"/>
                <w:szCs w:val="24"/>
              </w:rPr>
              <w:t>POM</w:t>
            </w:r>
            <w:r>
              <w:rPr>
                <w:rFonts w:ascii="仿宋" w:eastAsia="仿宋" w:hAnsi="仿宋" w:cs="仿宋" w:hint="eastAsia"/>
                <w:sz w:val="24"/>
                <w:szCs w:val="24"/>
              </w:rPr>
              <w:t>、</w:t>
            </w:r>
            <w:r>
              <w:rPr>
                <w:rFonts w:ascii="仿宋" w:eastAsia="仿宋" w:hAnsi="仿宋" w:cs="仿宋" w:hint="eastAsia"/>
                <w:sz w:val="24"/>
                <w:szCs w:val="24"/>
              </w:rPr>
              <w:t>DSC</w:t>
            </w:r>
            <w:r>
              <w:rPr>
                <w:rFonts w:ascii="仿宋" w:eastAsia="仿宋" w:hAnsi="仿宋" w:cs="仿宋" w:hint="eastAsia"/>
                <w:sz w:val="24"/>
                <w:szCs w:val="24"/>
              </w:rPr>
              <w:t>、</w:t>
            </w:r>
            <w:r>
              <w:rPr>
                <w:rFonts w:ascii="仿宋" w:eastAsia="仿宋" w:hAnsi="仿宋" w:cs="仿宋" w:hint="eastAsia"/>
                <w:sz w:val="24"/>
                <w:szCs w:val="24"/>
              </w:rPr>
              <w:t>X</w:t>
            </w:r>
            <w:r>
              <w:rPr>
                <w:rFonts w:ascii="仿宋" w:eastAsia="仿宋" w:hAnsi="仿宋" w:cs="仿宋" w:hint="eastAsia"/>
                <w:sz w:val="24"/>
                <w:szCs w:val="24"/>
              </w:rPr>
              <w:t>射线衍射等研究手段对合成的荧光分子的液晶行为及其自组装行为进行仔细的分析。并且进一步研究液晶性对其光学性质的研究。</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4</w:t>
            </w:r>
            <w:r>
              <w:rPr>
                <w:rFonts w:ascii="仿宋" w:eastAsia="仿宋" w:hAnsi="仿宋" w:cs="仿宋" w:hint="eastAsia"/>
                <w:b/>
                <w:sz w:val="24"/>
                <w:szCs w:val="24"/>
              </w:rPr>
              <w:t>）冷光分子</w:t>
            </w:r>
            <w:bookmarkStart w:id="4" w:name="OLE_LINK5"/>
            <w:r>
              <w:rPr>
                <w:rFonts w:ascii="仿宋" w:eastAsia="仿宋" w:hAnsi="仿宋" w:cs="仿宋" w:hint="eastAsia"/>
                <w:b/>
                <w:sz w:val="24"/>
                <w:szCs w:val="24"/>
              </w:rPr>
              <w:t>“开</w:t>
            </w:r>
            <w:r>
              <w:rPr>
                <w:rFonts w:ascii="仿宋" w:eastAsia="仿宋" w:hAnsi="仿宋" w:cs="仿宋" w:hint="eastAsia"/>
                <w:b/>
                <w:sz w:val="24"/>
                <w:szCs w:val="24"/>
              </w:rPr>
              <w:t>-</w:t>
            </w:r>
            <w:r>
              <w:rPr>
                <w:rFonts w:ascii="仿宋" w:eastAsia="仿宋" w:hAnsi="仿宋" w:cs="仿宋" w:hint="eastAsia"/>
                <w:b/>
                <w:sz w:val="24"/>
                <w:szCs w:val="24"/>
              </w:rPr>
              <w:t>光”</w:t>
            </w:r>
            <w:bookmarkEnd w:id="4"/>
            <w:r>
              <w:rPr>
                <w:rFonts w:ascii="仿宋" w:eastAsia="仿宋" w:hAnsi="仿宋" w:cs="仿宋" w:hint="eastAsia"/>
                <w:b/>
                <w:sz w:val="24"/>
                <w:szCs w:val="24"/>
              </w:rPr>
              <w:t>研究</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三联吡啶与金属形成稳定配合物以后如果往其中加入</w:t>
            </w:r>
            <w:r>
              <w:rPr>
                <w:rFonts w:ascii="仿宋" w:eastAsia="仿宋" w:hAnsi="仿宋" w:cs="仿宋" w:hint="eastAsia"/>
                <w:sz w:val="24"/>
                <w:szCs w:val="24"/>
              </w:rPr>
              <w:t>TBAF</w:t>
            </w:r>
            <w:r>
              <w:rPr>
                <w:rFonts w:ascii="仿宋" w:eastAsia="仿宋" w:hAnsi="仿宋" w:cs="仿宋" w:hint="eastAsia"/>
                <w:sz w:val="24"/>
                <w:szCs w:val="24"/>
              </w:rPr>
              <w:t>（一种含</w:t>
            </w:r>
            <w:r>
              <w:rPr>
                <w:rFonts w:ascii="仿宋" w:eastAsia="仿宋" w:hAnsi="仿宋" w:cs="仿宋" w:hint="eastAsia"/>
                <w:sz w:val="24"/>
                <w:szCs w:val="24"/>
              </w:rPr>
              <w:t>F-</w:t>
            </w:r>
            <w:r>
              <w:rPr>
                <w:rFonts w:ascii="仿宋" w:eastAsia="仿宋" w:hAnsi="仿宋" w:cs="仿宋" w:hint="eastAsia"/>
                <w:sz w:val="24"/>
                <w:szCs w:val="24"/>
              </w:rPr>
              <w:t>的化合物）其中</w:t>
            </w:r>
            <w:r>
              <w:rPr>
                <w:rFonts w:ascii="仿宋" w:eastAsia="仿宋" w:hAnsi="仿宋" w:cs="仿宋" w:hint="eastAsia"/>
                <w:sz w:val="24"/>
                <w:szCs w:val="24"/>
              </w:rPr>
              <w:t>Mg2+</w:t>
            </w:r>
            <w:r>
              <w:rPr>
                <w:rFonts w:ascii="仿宋" w:eastAsia="仿宋" w:hAnsi="仿宋" w:cs="仿宋" w:hint="eastAsia"/>
                <w:sz w:val="24"/>
                <w:szCs w:val="24"/>
              </w:rPr>
              <w:t>会与</w:t>
            </w:r>
            <w:r>
              <w:rPr>
                <w:rFonts w:ascii="仿宋" w:eastAsia="仿宋" w:hAnsi="仿宋" w:cs="仿宋" w:hint="eastAsia"/>
                <w:sz w:val="24"/>
                <w:szCs w:val="24"/>
              </w:rPr>
              <w:t>F-</w:t>
            </w:r>
            <w:r>
              <w:rPr>
                <w:rFonts w:ascii="仿宋" w:eastAsia="仿宋" w:hAnsi="仿宋" w:cs="仿宋" w:hint="eastAsia"/>
                <w:sz w:val="24"/>
                <w:szCs w:val="24"/>
              </w:rPr>
              <w:t>形成更稳定</w:t>
            </w:r>
            <w:r>
              <w:rPr>
                <w:rFonts w:ascii="仿宋" w:eastAsia="仿宋" w:hAnsi="仿宋" w:cs="仿宋" w:hint="eastAsia"/>
                <w:sz w:val="24"/>
                <w:szCs w:val="24"/>
              </w:rPr>
              <w:t>MgF</w:t>
            </w:r>
            <w:r>
              <w:rPr>
                <w:rFonts w:ascii="仿宋" w:eastAsia="仿宋" w:hAnsi="仿宋" w:cs="仿宋" w:hint="eastAsia"/>
                <w:sz w:val="24"/>
                <w:szCs w:val="24"/>
              </w:rPr>
              <w:t>而使配合物解离。这一部分的研究更有可能的实验结果是加入</w:t>
            </w:r>
            <w:r>
              <w:rPr>
                <w:rFonts w:ascii="仿宋" w:eastAsia="仿宋" w:hAnsi="仿宋" w:cs="仿宋" w:hint="eastAsia"/>
                <w:sz w:val="24"/>
                <w:szCs w:val="24"/>
              </w:rPr>
              <w:t>Mg2+</w:t>
            </w:r>
            <w:r>
              <w:rPr>
                <w:rFonts w:ascii="仿宋" w:eastAsia="仿宋" w:hAnsi="仿宋" w:cs="仿宋" w:hint="eastAsia"/>
                <w:sz w:val="24"/>
                <w:szCs w:val="24"/>
              </w:rPr>
              <w:t>后由于形成金属配合物其冷光强度增强而加入</w:t>
            </w:r>
            <w:r>
              <w:rPr>
                <w:rFonts w:ascii="仿宋" w:eastAsia="仿宋" w:hAnsi="仿宋" w:cs="仿宋" w:hint="eastAsia"/>
                <w:sz w:val="24"/>
                <w:szCs w:val="24"/>
              </w:rPr>
              <w:t>F-</w:t>
            </w:r>
            <w:r>
              <w:rPr>
                <w:rFonts w:ascii="仿宋" w:eastAsia="仿宋" w:hAnsi="仿宋" w:cs="仿宋" w:hint="eastAsia"/>
                <w:sz w:val="24"/>
                <w:szCs w:val="24"/>
              </w:rPr>
              <w:t>后其金属配合物解离其冷光强度降低。</w:t>
            </w:r>
            <w:r>
              <w:rPr>
                <w:rFonts w:ascii="仿宋" w:eastAsia="仿宋" w:hAnsi="仿宋" w:cs="仿宋" w:hint="eastAsia"/>
                <w:sz w:val="24"/>
                <w:szCs w:val="24"/>
              </w:rPr>
              <w:t xml:space="preserve"> </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1.3</w:t>
            </w:r>
            <w:r>
              <w:rPr>
                <w:rFonts w:ascii="仿宋" w:eastAsia="仿宋" w:hAnsi="仿宋" w:cs="仿宋" w:hint="eastAsia"/>
                <w:b/>
                <w:sz w:val="24"/>
                <w:szCs w:val="24"/>
              </w:rPr>
              <w:t>拟解决的关键问题</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在离子探测，生物感应，或细胞成像等方面，寿命更长的磷光相较于荧光具有明显的优势。且</w:t>
            </w:r>
            <w:r>
              <w:rPr>
                <w:rFonts w:ascii="仿宋" w:eastAsia="仿宋" w:hAnsi="仿宋" w:cs="仿宋" w:hint="eastAsia"/>
                <w:sz w:val="24"/>
                <w:szCs w:val="24"/>
              </w:rPr>
              <w:t>turn-on</w:t>
            </w:r>
            <w:r>
              <w:rPr>
                <w:rFonts w:ascii="仿宋" w:eastAsia="仿宋" w:hAnsi="仿宋" w:cs="仿宋" w:hint="eastAsia"/>
                <w:sz w:val="24"/>
                <w:szCs w:val="24"/>
              </w:rPr>
              <w:t>模式的探测方式对比</w:t>
            </w:r>
            <w:r>
              <w:rPr>
                <w:rFonts w:ascii="仿宋" w:eastAsia="仿宋" w:hAnsi="仿宋" w:cs="仿宋" w:hint="eastAsia"/>
                <w:sz w:val="24"/>
                <w:szCs w:val="24"/>
              </w:rPr>
              <w:t>turn-on</w:t>
            </w:r>
            <w:r>
              <w:rPr>
                <w:rFonts w:ascii="仿宋" w:eastAsia="仿宋" w:hAnsi="仿宋" w:cs="仿宋" w:hint="eastAsia"/>
                <w:sz w:val="24"/>
                <w:szCs w:val="24"/>
              </w:rPr>
              <w:t>模式已经被证明是一种更好的选择。本课题合成的目标分子同时具有聚集诱导发光效应和</w:t>
            </w:r>
            <w:r>
              <w:rPr>
                <w:rFonts w:ascii="仿宋" w:eastAsia="仿宋" w:hAnsi="仿宋" w:cs="仿宋" w:hint="eastAsia"/>
                <w:sz w:val="24"/>
                <w:szCs w:val="24"/>
              </w:rPr>
              <w:t>发磷光的性质，有望基于此分子开放一套性能优越的探测系统，而且由于其聚集后发磷光，解决了传统磷光分子在制备成器件时效率严重下降的问题，因此在作为电子器件也具有独特的优势。</w:t>
            </w:r>
            <w:r>
              <w:rPr>
                <w:rFonts w:ascii="仿宋" w:eastAsia="仿宋" w:hAnsi="仿宋" w:cs="仿宋" w:hint="eastAsia"/>
                <w:sz w:val="24"/>
                <w:szCs w:val="24"/>
              </w:rPr>
              <w:t xml:space="preserve"> </w:t>
            </w:r>
          </w:p>
          <w:p w:rsidR="005112FD" w:rsidRDefault="005112FD">
            <w:pPr>
              <w:spacing w:line="360" w:lineRule="auto"/>
              <w:rPr>
                <w:rFonts w:ascii="仿宋" w:eastAsia="仿宋" w:hAnsi="仿宋" w:cs="仿宋"/>
                <w:sz w:val="24"/>
                <w:szCs w:val="24"/>
              </w:rPr>
            </w:pPr>
          </w:p>
          <w:p w:rsidR="005112FD" w:rsidRDefault="005112FD">
            <w:pPr>
              <w:spacing w:line="360" w:lineRule="auto"/>
              <w:ind w:firstLineChars="200" w:firstLine="480"/>
              <w:rPr>
                <w:rFonts w:ascii="仿宋" w:eastAsia="仿宋" w:hAnsi="仿宋" w:cs="仿宋"/>
                <w:sz w:val="24"/>
                <w:szCs w:val="24"/>
              </w:rPr>
            </w:pPr>
          </w:p>
          <w:p w:rsidR="005112FD" w:rsidRDefault="005112FD">
            <w:pPr>
              <w:spacing w:line="360" w:lineRule="auto"/>
              <w:ind w:firstLineChars="200" w:firstLine="480"/>
              <w:rPr>
                <w:rFonts w:ascii="仿宋" w:eastAsia="仿宋" w:hAnsi="仿宋" w:cs="仿宋"/>
                <w:sz w:val="24"/>
                <w:szCs w:val="24"/>
              </w:rPr>
            </w:pPr>
          </w:p>
        </w:tc>
      </w:tr>
      <w:tr w:rsidR="005112FD">
        <w:trPr>
          <w:trHeight w:val="2175"/>
        </w:trPr>
        <w:tc>
          <w:tcPr>
            <w:tcW w:w="9366" w:type="dxa"/>
            <w:gridSpan w:val="8"/>
          </w:tcPr>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lastRenderedPageBreak/>
              <w:t>国内外研究现状和发展动态</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三联吡啶与</w:t>
            </w:r>
            <w:r>
              <w:rPr>
                <w:rFonts w:ascii="仿宋" w:eastAsia="仿宋" w:hAnsi="仿宋" w:cs="仿宋" w:hint="eastAsia"/>
                <w:sz w:val="24"/>
                <w:szCs w:val="24"/>
              </w:rPr>
              <w:t>d</w:t>
            </w:r>
            <w:r>
              <w:rPr>
                <w:rFonts w:ascii="仿宋" w:eastAsia="仿宋" w:hAnsi="仿宋" w:cs="仿宋" w:hint="eastAsia"/>
                <w:sz w:val="24"/>
                <w:szCs w:val="24"/>
              </w:rPr>
              <w:t>区金属离子形成的稳定化合物具有有趣的光，电，磁现象</w:t>
            </w:r>
            <w:bookmarkStart w:id="5" w:name="OLE_LINK6"/>
            <w:r>
              <w:rPr>
                <w:rFonts w:ascii="仿宋" w:eastAsia="仿宋" w:hAnsi="仿宋" w:cs="仿宋" w:hint="eastAsia"/>
                <w:sz w:val="24"/>
                <w:szCs w:val="24"/>
                <w:vertAlign w:val="superscript"/>
              </w:rPr>
              <w:t>1,2</w:t>
            </w:r>
            <w:bookmarkEnd w:id="5"/>
            <w:r>
              <w:rPr>
                <w:rFonts w:ascii="仿宋" w:eastAsia="仿宋" w:hAnsi="仿宋" w:cs="仿宋" w:hint="eastAsia"/>
                <w:sz w:val="24"/>
                <w:szCs w:val="24"/>
              </w:rPr>
              <w:t>，所以人们对它进行了许多研究。由于</w:t>
            </w:r>
            <w:r>
              <w:rPr>
                <w:rFonts w:ascii="仿宋" w:eastAsia="仿宋" w:hAnsi="仿宋" w:cs="仿宋" w:hint="eastAsia"/>
                <w:sz w:val="24"/>
                <w:szCs w:val="24"/>
              </w:rPr>
              <w:t>3</w:t>
            </w:r>
            <w:r>
              <w:rPr>
                <w:rFonts w:ascii="仿宋" w:eastAsia="仿宋" w:hAnsi="仿宋" w:cs="仿宋" w:hint="eastAsia"/>
                <w:sz w:val="24"/>
                <w:szCs w:val="24"/>
              </w:rPr>
              <w:t>个</w:t>
            </w:r>
            <w:r>
              <w:rPr>
                <w:rFonts w:ascii="仿宋" w:eastAsia="仿宋" w:hAnsi="仿宋" w:cs="仿宋" w:hint="eastAsia"/>
                <w:sz w:val="24"/>
                <w:szCs w:val="24"/>
              </w:rPr>
              <w:t>N</w:t>
            </w:r>
            <w:r>
              <w:rPr>
                <w:rFonts w:ascii="仿宋" w:eastAsia="仿宋" w:hAnsi="仿宋" w:cs="仿宋" w:hint="eastAsia"/>
                <w:sz w:val="24"/>
                <w:szCs w:val="24"/>
              </w:rPr>
              <w:t>原子和</w:t>
            </w:r>
            <w:r>
              <w:rPr>
                <w:rFonts w:ascii="仿宋" w:eastAsia="仿宋" w:hAnsi="仿宋" w:cs="仿宋" w:hint="eastAsia"/>
                <w:sz w:val="24"/>
                <w:szCs w:val="24"/>
              </w:rPr>
              <w:t>4</w:t>
            </w:r>
            <w:r>
              <w:rPr>
                <w:rFonts w:ascii="仿宋" w:eastAsia="仿宋" w:hAnsi="仿宋" w:cs="仿宋" w:hint="eastAsia"/>
                <w:sz w:val="24"/>
                <w:szCs w:val="24"/>
                <w:vertAlign w:val="superscript"/>
              </w:rPr>
              <w:t>，</w:t>
            </w:r>
            <w:r>
              <w:rPr>
                <w:rFonts w:ascii="仿宋" w:eastAsia="仿宋" w:hAnsi="仿宋" w:cs="仿宋" w:hint="eastAsia"/>
                <w:sz w:val="24"/>
                <w:szCs w:val="24"/>
              </w:rPr>
              <w:t>位置取代基的活化作用三联吡啶和</w:t>
            </w:r>
            <w:r>
              <w:rPr>
                <w:rFonts w:ascii="仿宋" w:eastAsia="仿宋" w:hAnsi="仿宋" w:cs="仿宋" w:hint="eastAsia"/>
                <w:sz w:val="24"/>
                <w:szCs w:val="24"/>
              </w:rPr>
              <w:t>d</w:t>
            </w:r>
            <w:r>
              <w:rPr>
                <w:rFonts w:ascii="仿宋" w:eastAsia="仿宋" w:hAnsi="仿宋" w:cs="仿宋" w:hint="eastAsia"/>
                <w:sz w:val="24"/>
                <w:szCs w:val="24"/>
                <w:vertAlign w:val="superscript"/>
              </w:rPr>
              <w:t>6</w:t>
            </w:r>
            <w:r>
              <w:rPr>
                <w:rFonts w:ascii="仿宋" w:eastAsia="仿宋" w:hAnsi="仿宋" w:cs="仿宋" w:hint="eastAsia"/>
                <w:sz w:val="24"/>
                <w:szCs w:val="24"/>
              </w:rPr>
              <w:t>-</w:t>
            </w:r>
            <w:r>
              <w:rPr>
                <w:rFonts w:ascii="仿宋" w:eastAsia="仿宋" w:hAnsi="仿宋" w:cs="仿宋" w:hint="eastAsia"/>
                <w:sz w:val="24"/>
                <w:szCs w:val="24"/>
              </w:rPr>
              <w:t>金属离子很适合构建线性，刚性，具有确定排列的结构</w:t>
            </w:r>
            <w:bookmarkStart w:id="6" w:name="OLE_LINK8"/>
            <w:bookmarkStart w:id="7" w:name="OLE_LINK7"/>
            <w:r>
              <w:rPr>
                <w:rFonts w:ascii="仿宋" w:eastAsia="仿宋" w:hAnsi="仿宋" w:cs="仿宋" w:hint="eastAsia"/>
                <w:sz w:val="24"/>
                <w:szCs w:val="24"/>
                <w:vertAlign w:val="superscript"/>
              </w:rPr>
              <w:t>3</w:t>
            </w:r>
            <w:bookmarkEnd w:id="6"/>
            <w:bookmarkEnd w:id="7"/>
            <w:r>
              <w:rPr>
                <w:rFonts w:ascii="仿宋" w:eastAsia="仿宋" w:hAnsi="仿宋" w:cs="仿宋" w:hint="eastAsia"/>
                <w:sz w:val="24"/>
                <w:szCs w:val="24"/>
              </w:rPr>
              <w:t>。因此三联吡啶在二聚体，线性多核金属化合物，金属大环化合物和金属配位的高分子等方面有许多应用</w:t>
            </w:r>
            <w:r>
              <w:rPr>
                <w:rFonts w:ascii="仿宋" w:eastAsia="仿宋" w:hAnsi="仿宋" w:cs="仿宋" w:hint="eastAsia"/>
                <w:sz w:val="24"/>
                <w:szCs w:val="24"/>
                <w:vertAlign w:val="superscript"/>
              </w:rPr>
              <w:t>4,5,6</w:t>
            </w:r>
            <w:r>
              <w:rPr>
                <w:rFonts w:ascii="仿宋" w:eastAsia="仿宋" w:hAnsi="仿宋" w:cs="仿宋" w:hint="eastAsia"/>
                <w:sz w:val="24"/>
                <w:szCs w:val="24"/>
              </w:rPr>
              <w:t>。三联吡啶本身的发光性很弱</w:t>
            </w:r>
            <w:r>
              <w:rPr>
                <w:rStyle w:val="fontstyle01"/>
                <w:rFonts w:ascii="仿宋" w:eastAsia="仿宋" w:hAnsi="仿宋" w:cs="仿宋" w:hint="eastAsia"/>
                <w:sz w:val="24"/>
                <w:szCs w:val="24"/>
              </w:rPr>
              <w:t>(</w:t>
            </w:r>
            <w:r>
              <w:rPr>
                <w:rStyle w:val="fontstyle11"/>
                <w:rFonts w:ascii="仿宋" w:eastAsia="仿宋" w:hAnsi="仿宋" w:cs="仿宋" w:hint="eastAsia"/>
                <w:sz w:val="24"/>
                <w:szCs w:val="24"/>
              </w:rPr>
              <w:t>Φ</w:t>
            </w:r>
            <w:r>
              <w:rPr>
                <w:rStyle w:val="fontstyle01"/>
                <w:rFonts w:ascii="仿宋" w:eastAsia="仿宋" w:hAnsi="仿宋" w:cs="仿宋" w:hint="eastAsia"/>
                <w:sz w:val="24"/>
                <w:szCs w:val="24"/>
              </w:rPr>
              <w:t xml:space="preserve">em = 3 </w:t>
            </w:r>
            <w:r>
              <w:rPr>
                <w:rStyle w:val="fontstyle31"/>
                <w:rFonts w:ascii="仿宋" w:eastAsia="仿宋" w:hAnsi="仿宋" w:cs="仿宋" w:hint="eastAsia"/>
                <w:sz w:val="24"/>
                <w:szCs w:val="24"/>
              </w:rPr>
              <w:t>×</w:t>
            </w:r>
            <w:r>
              <w:rPr>
                <w:rStyle w:val="fontstyle31"/>
                <w:rFonts w:ascii="仿宋" w:eastAsia="仿宋" w:hAnsi="仿宋" w:cs="仿宋" w:hint="eastAsia"/>
                <w:sz w:val="24"/>
                <w:szCs w:val="24"/>
              </w:rPr>
              <w:t xml:space="preserve"> </w:t>
            </w:r>
            <w:r>
              <w:rPr>
                <w:rStyle w:val="fontstyle01"/>
                <w:rFonts w:ascii="仿宋" w:eastAsia="仿宋" w:hAnsi="仿宋" w:cs="仿宋" w:hint="eastAsia"/>
                <w:sz w:val="24"/>
                <w:szCs w:val="24"/>
              </w:rPr>
              <w:t>10</w:t>
            </w:r>
            <w:r>
              <w:rPr>
                <w:rStyle w:val="fontstyle41"/>
                <w:rFonts w:ascii="仿宋" w:eastAsia="仿宋" w:hAnsi="仿宋" w:cs="仿宋" w:hint="eastAsia"/>
                <w:sz w:val="24"/>
                <w:szCs w:val="24"/>
              </w:rPr>
              <w:t>-</w:t>
            </w:r>
            <w:r>
              <w:rPr>
                <w:rStyle w:val="fontstyle01"/>
                <w:rFonts w:ascii="仿宋" w:eastAsia="仿宋" w:hAnsi="仿宋" w:cs="仿宋" w:hint="eastAsia"/>
                <w:sz w:val="24"/>
                <w:szCs w:val="24"/>
              </w:rPr>
              <w:t>3)</w:t>
            </w:r>
            <w:r>
              <w:rPr>
                <w:rStyle w:val="fontstyle01"/>
                <w:rFonts w:ascii="仿宋" w:eastAsia="仿宋" w:hAnsi="仿宋" w:cs="仿宋" w:hint="eastAsia"/>
                <w:sz w:val="24"/>
                <w:szCs w:val="24"/>
              </w:rPr>
              <w:t>，</w:t>
            </w:r>
            <w:r>
              <w:rPr>
                <w:rFonts w:ascii="仿宋" w:eastAsia="仿宋" w:hAnsi="仿宋" w:cs="仿宋" w:hint="eastAsia"/>
                <w:sz w:val="24"/>
                <w:szCs w:val="24"/>
              </w:rPr>
              <w:t>因此为了将发光性和金属配位性结合起来</w:t>
            </w:r>
            <w:r>
              <w:rPr>
                <w:rFonts w:ascii="仿宋" w:eastAsia="仿宋" w:hAnsi="仿宋" w:cs="仿宋" w:hint="eastAsia"/>
                <w:sz w:val="24"/>
                <w:szCs w:val="24"/>
              </w:rPr>
              <w:t xml:space="preserve">, </w:t>
            </w:r>
            <w:r>
              <w:rPr>
                <w:rFonts w:ascii="仿宋" w:eastAsia="仿宋" w:hAnsi="仿宋" w:cs="仿宋" w:hint="eastAsia"/>
                <w:sz w:val="24"/>
                <w:szCs w:val="24"/>
              </w:rPr>
              <w:t>在过去几年里很多发色基团连接到三联吡啶上得到的一系列具有聚集诱导发光效应的荧光分子引起了越来越多的关注</w:t>
            </w:r>
            <w:bookmarkStart w:id="8" w:name="OLE_LINK9"/>
            <w:r>
              <w:rPr>
                <w:rFonts w:ascii="仿宋" w:eastAsia="仿宋" w:hAnsi="仿宋" w:cs="仿宋" w:hint="eastAsia"/>
                <w:sz w:val="24"/>
                <w:szCs w:val="24"/>
                <w:vertAlign w:val="superscript"/>
              </w:rPr>
              <w:t>[7]</w:t>
            </w:r>
            <w:bookmarkEnd w:id="8"/>
            <w:r>
              <w:rPr>
                <w:rFonts w:ascii="仿宋" w:eastAsia="仿宋" w:hAnsi="仿宋" w:cs="仿宋" w:hint="eastAsia"/>
                <w:sz w:val="24"/>
                <w:szCs w:val="24"/>
              </w:rPr>
              <w:t>。在大多数情况下其发射增强是由于聚集或结晶引起的分子内旋转受限。这些发色基团让一些固态光学器件如有机发光二极管，荧光感应器，荧光探针在材料或生物科学领域的应用成为可能。</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2,2</w:t>
            </w:r>
            <w:r>
              <w:rPr>
                <w:rFonts w:ascii="仿宋" w:eastAsia="仿宋" w:hAnsi="仿宋" w:cs="仿宋" w:hint="eastAsia"/>
                <w:sz w:val="24"/>
                <w:szCs w:val="24"/>
              </w:rPr>
              <w:t>，：</w:t>
            </w:r>
            <w:r>
              <w:rPr>
                <w:rFonts w:ascii="仿宋" w:eastAsia="仿宋" w:hAnsi="仿宋" w:cs="仿宋" w:hint="eastAsia"/>
                <w:sz w:val="24"/>
                <w:szCs w:val="24"/>
              </w:rPr>
              <w:t>6,2</w:t>
            </w:r>
            <w:r>
              <w:rPr>
                <w:rFonts w:ascii="仿宋" w:eastAsia="仿宋" w:hAnsi="仿宋" w:cs="仿宋" w:hint="eastAsia"/>
                <w:sz w:val="24"/>
                <w:szCs w:val="24"/>
              </w:rPr>
              <w:t>，，三联吡啶由于其在超分子领域，配位化学领域，还有材料科学领域可以作为功能化的模板在最近几年获得了很大的关注</w:t>
            </w:r>
            <w:bookmarkStart w:id="9" w:name="OLE_LINK14"/>
            <w:r>
              <w:rPr>
                <w:rFonts w:ascii="仿宋" w:eastAsia="仿宋" w:hAnsi="仿宋" w:cs="仿宋" w:hint="eastAsia"/>
                <w:sz w:val="24"/>
                <w:szCs w:val="24"/>
                <w:vertAlign w:val="superscript"/>
              </w:rPr>
              <w:t>8,9</w:t>
            </w:r>
            <w:bookmarkEnd w:id="9"/>
            <w:r>
              <w:rPr>
                <w:rFonts w:ascii="仿宋" w:eastAsia="仿宋" w:hAnsi="仿宋" w:cs="仿宋" w:hint="eastAsia"/>
                <w:sz w:val="24"/>
                <w:szCs w:val="24"/>
              </w:rPr>
              <w:t>。由于其与过渡金属，稀土金属离子具有丰富的配位能力，很好的吸附能力以及与这些能力相对应的氧化还原性能，光物理性能使它在多种金属</w:t>
            </w:r>
            <w:r>
              <w:rPr>
                <w:rFonts w:ascii="仿宋" w:eastAsia="仿宋" w:hAnsi="仿宋" w:cs="仿宋" w:hint="eastAsia"/>
                <w:sz w:val="24"/>
                <w:szCs w:val="24"/>
              </w:rPr>
              <w:t>-</w:t>
            </w:r>
            <w:r>
              <w:rPr>
                <w:rFonts w:ascii="仿宋" w:eastAsia="仿宋" w:hAnsi="仿宋" w:cs="仿宋" w:hint="eastAsia"/>
                <w:sz w:val="24"/>
                <w:szCs w:val="24"/>
              </w:rPr>
              <w:t>超分子结构的构建等许多方面具有潜在的应用。在许多已发表的文章里面都阐述了包含有三联吡</w:t>
            </w:r>
            <w:r>
              <w:rPr>
                <w:rFonts w:ascii="仿宋" w:eastAsia="仿宋" w:hAnsi="仿宋" w:cs="仿宋" w:hint="eastAsia"/>
                <w:sz w:val="24"/>
                <w:szCs w:val="24"/>
              </w:rPr>
              <w:t>啶的体系的合成，性能，和应用。由于其独特的光物理，电化学，结晶，和磁性质，人们研究了三联吡啶和他的一些化合物在光</w:t>
            </w:r>
            <w:r>
              <w:rPr>
                <w:rFonts w:ascii="仿宋" w:eastAsia="仿宋" w:hAnsi="仿宋" w:cs="仿宋" w:hint="eastAsia"/>
                <w:sz w:val="24"/>
                <w:szCs w:val="24"/>
              </w:rPr>
              <w:t>-</w:t>
            </w:r>
            <w:r>
              <w:rPr>
                <w:rFonts w:ascii="仿宋" w:eastAsia="仿宋" w:hAnsi="仿宋" w:cs="仿宋" w:hint="eastAsia"/>
                <w:sz w:val="24"/>
                <w:szCs w:val="24"/>
              </w:rPr>
              <w:t>电转换，发光电化学电池，冷光体系，（如有机发光二极管），或者非线性光学器件等方面一些潜在的应用</w:t>
            </w:r>
            <w:bookmarkStart w:id="10" w:name="OLE_LINK16"/>
            <w:r>
              <w:rPr>
                <w:rFonts w:ascii="仿宋" w:eastAsia="仿宋" w:hAnsi="仿宋" w:cs="仿宋" w:hint="eastAsia"/>
                <w:sz w:val="24"/>
                <w:szCs w:val="24"/>
                <w:vertAlign w:val="superscript"/>
              </w:rPr>
              <w:t>10,11</w:t>
            </w:r>
            <w:bookmarkEnd w:id="10"/>
            <w:r>
              <w:rPr>
                <w:rFonts w:ascii="仿宋" w:eastAsia="仿宋" w:hAnsi="仿宋" w:cs="仿宋" w:hint="eastAsia"/>
                <w:sz w:val="24"/>
                <w:szCs w:val="24"/>
              </w:rPr>
              <w:t>。另外，双官能团的和树枝状的三联吡啶配体形成的多金属化合物可以应用在冷光或电化学感应器。除了这些方面，它们在生物医药，制药方面的研究最近也有了飞速的发展</w:t>
            </w:r>
            <w:r>
              <w:rPr>
                <w:rFonts w:ascii="仿宋" w:eastAsia="仿宋" w:hAnsi="仿宋" w:cs="仿宋" w:hint="eastAsia"/>
                <w:sz w:val="24"/>
                <w:szCs w:val="24"/>
                <w:vertAlign w:val="superscript"/>
              </w:rPr>
              <w:t>12,13</w:t>
            </w:r>
            <w:r>
              <w:rPr>
                <w:rFonts w:ascii="仿宋" w:eastAsia="仿宋" w:hAnsi="仿宋" w:cs="仿宋" w:hint="eastAsia"/>
                <w:sz w:val="24"/>
                <w:szCs w:val="24"/>
              </w:rPr>
              <w:t>。此外，三联吡啶及其过渡金属化合物具有很好的催化活性使其在不对称有机合成方面具有很广的应用：如</w:t>
            </w:r>
            <w:r>
              <w:rPr>
                <w:rFonts w:ascii="仿宋" w:eastAsia="仿宋" w:hAnsi="仿宋" w:cs="仿宋" w:hint="eastAsia"/>
                <w:sz w:val="24"/>
                <w:szCs w:val="24"/>
              </w:rPr>
              <w:t>C-C</w:t>
            </w:r>
            <w:r>
              <w:rPr>
                <w:rFonts w:ascii="仿宋" w:eastAsia="仿宋" w:hAnsi="仿宋" w:cs="仿宋" w:hint="eastAsia"/>
                <w:sz w:val="24"/>
                <w:szCs w:val="24"/>
              </w:rPr>
              <w:t>单键的形成</w:t>
            </w:r>
            <w:bookmarkStart w:id="11" w:name="OLE_LINK19"/>
            <w:bookmarkStart w:id="12" w:name="OLE_LINK18"/>
            <w:r>
              <w:rPr>
                <w:rFonts w:ascii="仿宋" w:eastAsia="仿宋" w:hAnsi="仿宋" w:cs="仿宋" w:hint="eastAsia"/>
                <w:sz w:val="24"/>
                <w:szCs w:val="24"/>
                <w:vertAlign w:val="superscript"/>
              </w:rPr>
              <w:t>14</w:t>
            </w:r>
            <w:bookmarkEnd w:id="11"/>
            <w:bookmarkEnd w:id="12"/>
            <w:r>
              <w:rPr>
                <w:rFonts w:ascii="仿宋" w:eastAsia="仿宋" w:hAnsi="仿宋" w:cs="仿宋" w:hint="eastAsia"/>
                <w:sz w:val="24"/>
                <w:szCs w:val="24"/>
              </w:rPr>
              <w:t>，醚化反应</w:t>
            </w:r>
            <w:r>
              <w:rPr>
                <w:rFonts w:ascii="仿宋" w:eastAsia="仿宋" w:hAnsi="仿宋" w:cs="仿宋" w:hint="eastAsia"/>
                <w:sz w:val="24"/>
                <w:szCs w:val="24"/>
                <w:vertAlign w:val="superscript"/>
              </w:rPr>
              <w:t>15</w:t>
            </w:r>
            <w:r>
              <w:rPr>
                <w:rFonts w:ascii="仿宋" w:eastAsia="仿宋" w:hAnsi="仿宋" w:cs="仿宋" w:hint="eastAsia"/>
                <w:sz w:val="24"/>
                <w:szCs w:val="24"/>
              </w:rPr>
              <w:t>，醇</w:t>
            </w:r>
            <w:r>
              <w:rPr>
                <w:rFonts w:ascii="仿宋" w:eastAsia="仿宋" w:hAnsi="仿宋" w:cs="仿宋" w:hint="eastAsia"/>
                <w:sz w:val="24"/>
                <w:szCs w:val="24"/>
              </w:rPr>
              <w:t>或者醚的氧化</w:t>
            </w:r>
            <w:r>
              <w:rPr>
                <w:rFonts w:ascii="仿宋" w:eastAsia="仿宋" w:hAnsi="仿宋" w:cs="仿宋" w:hint="eastAsia"/>
                <w:sz w:val="24"/>
                <w:szCs w:val="24"/>
                <w:vertAlign w:val="superscript"/>
              </w:rPr>
              <w:t>16</w:t>
            </w:r>
            <w:r>
              <w:rPr>
                <w:rFonts w:ascii="仿宋" w:eastAsia="仿宋" w:hAnsi="仿宋" w:cs="仿宋" w:hint="eastAsia"/>
                <w:sz w:val="24"/>
                <w:szCs w:val="24"/>
              </w:rPr>
              <w:t>，环丙烷化</w:t>
            </w:r>
            <w:r>
              <w:rPr>
                <w:rFonts w:ascii="仿宋" w:eastAsia="仿宋" w:hAnsi="仿宋" w:cs="仿宋" w:hint="eastAsia"/>
                <w:sz w:val="24"/>
                <w:szCs w:val="24"/>
                <w:vertAlign w:val="superscript"/>
              </w:rPr>
              <w:t>17</w:t>
            </w:r>
            <w:r>
              <w:rPr>
                <w:rFonts w:ascii="仿宋" w:eastAsia="仿宋" w:hAnsi="仿宋" w:cs="仿宋" w:hint="eastAsia"/>
                <w:sz w:val="24"/>
                <w:szCs w:val="24"/>
              </w:rPr>
              <w:t>，环氧化</w:t>
            </w:r>
            <w:r>
              <w:rPr>
                <w:rFonts w:ascii="仿宋" w:eastAsia="仿宋" w:hAnsi="仿宋" w:cs="仿宋" w:hint="eastAsia"/>
                <w:sz w:val="24"/>
                <w:szCs w:val="24"/>
                <w:vertAlign w:val="superscript"/>
              </w:rPr>
              <w:t>18</w:t>
            </w:r>
            <w:r>
              <w:rPr>
                <w:rFonts w:ascii="仿宋" w:eastAsia="仿宋" w:hAnsi="仿宋" w:cs="仿宋" w:hint="eastAsia"/>
                <w:sz w:val="24"/>
                <w:szCs w:val="24"/>
              </w:rPr>
              <w:t>，铜催化的点击环化（</w:t>
            </w:r>
            <w:r>
              <w:rPr>
                <w:rFonts w:ascii="仿宋" w:eastAsia="仿宋" w:hAnsi="仿宋" w:cs="仿宋" w:hint="eastAsia"/>
                <w:sz w:val="24"/>
                <w:szCs w:val="24"/>
              </w:rPr>
              <w:t>CCAAC</w:t>
            </w:r>
            <w:r>
              <w:rPr>
                <w:rFonts w:ascii="仿宋" w:eastAsia="仿宋" w:hAnsi="仿宋" w:cs="仿宋" w:hint="eastAsia"/>
                <w:sz w:val="24"/>
                <w:szCs w:val="24"/>
              </w:rPr>
              <w:t>）硅氢加成</w:t>
            </w:r>
            <w:r>
              <w:rPr>
                <w:rFonts w:ascii="仿宋" w:eastAsia="仿宋" w:hAnsi="仿宋" w:cs="仿宋" w:hint="eastAsia"/>
                <w:sz w:val="24"/>
                <w:szCs w:val="24"/>
                <w:vertAlign w:val="superscript"/>
              </w:rPr>
              <w:t>19</w:t>
            </w:r>
            <w:r>
              <w:rPr>
                <w:rFonts w:ascii="仿宋" w:eastAsia="仿宋" w:hAnsi="仿宋" w:cs="仿宋" w:hint="eastAsia"/>
                <w:sz w:val="24"/>
                <w:szCs w:val="24"/>
              </w:rPr>
              <w:t>，可控自由基聚合</w:t>
            </w:r>
            <w:r>
              <w:rPr>
                <w:rFonts w:ascii="仿宋" w:eastAsia="仿宋" w:hAnsi="仿宋" w:cs="仿宋" w:hint="eastAsia"/>
                <w:sz w:val="24"/>
                <w:szCs w:val="24"/>
                <w:vertAlign w:val="superscript"/>
              </w:rPr>
              <w:t>20</w:t>
            </w:r>
            <w:r>
              <w:rPr>
                <w:rFonts w:ascii="仿宋" w:eastAsia="仿宋" w:hAnsi="仿宋" w:cs="仿宋" w:hint="eastAsia"/>
                <w:sz w:val="24"/>
                <w:szCs w:val="24"/>
              </w:rPr>
              <w:t>，另外，</w:t>
            </w:r>
            <w:r>
              <w:rPr>
                <w:rFonts w:ascii="仿宋" w:eastAsia="仿宋" w:hAnsi="仿宋" w:cs="仿宋" w:hint="eastAsia"/>
                <w:sz w:val="24"/>
                <w:szCs w:val="24"/>
              </w:rPr>
              <w:t>Ru-</w:t>
            </w:r>
            <w:r>
              <w:rPr>
                <w:rFonts w:ascii="仿宋" w:eastAsia="仿宋" w:hAnsi="仿宋" w:cs="仿宋" w:hint="eastAsia"/>
                <w:sz w:val="24"/>
                <w:szCs w:val="24"/>
              </w:rPr>
              <w:t>三联吡啶化合物还用来光催化水分解</w:t>
            </w:r>
            <w:r>
              <w:rPr>
                <w:rFonts w:ascii="仿宋" w:eastAsia="仿宋" w:hAnsi="仿宋" w:cs="仿宋" w:hint="eastAsia"/>
                <w:sz w:val="24"/>
                <w:szCs w:val="24"/>
                <w:vertAlign w:val="superscript"/>
              </w:rPr>
              <w:t>21</w:t>
            </w:r>
            <w:r>
              <w:rPr>
                <w:rFonts w:ascii="仿宋" w:eastAsia="仿宋" w:hAnsi="仿宋" w:cs="仿宋" w:hint="eastAsia"/>
                <w:sz w:val="24"/>
                <w:szCs w:val="24"/>
              </w:rPr>
              <w:t>。</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基于三联吡啶</w:t>
            </w:r>
            <w:r>
              <w:rPr>
                <w:rFonts w:ascii="仿宋" w:eastAsia="仿宋" w:hAnsi="仿宋" w:cs="仿宋" w:hint="eastAsia"/>
                <w:sz w:val="24"/>
                <w:szCs w:val="24"/>
              </w:rPr>
              <w:t>-</w:t>
            </w:r>
            <w:r>
              <w:rPr>
                <w:rFonts w:ascii="仿宋" w:eastAsia="仿宋" w:hAnsi="仿宋" w:cs="仿宋" w:hint="eastAsia"/>
                <w:sz w:val="24"/>
                <w:szCs w:val="24"/>
              </w:rPr>
              <w:t>金属的连接性人们通过合理的设计已经得到了超分子聚合物架构给设计可以随外界条件如</w:t>
            </w:r>
            <w:r>
              <w:rPr>
                <w:rFonts w:ascii="仿宋" w:eastAsia="仿宋" w:hAnsi="仿宋" w:cs="仿宋" w:hint="eastAsia"/>
                <w:sz w:val="24"/>
                <w:szCs w:val="24"/>
              </w:rPr>
              <w:t>pH</w:t>
            </w:r>
            <w:r>
              <w:rPr>
                <w:rFonts w:ascii="仿宋" w:eastAsia="仿宋" w:hAnsi="仿宋" w:cs="仿宋" w:hint="eastAsia"/>
                <w:sz w:val="24"/>
                <w:szCs w:val="24"/>
              </w:rPr>
              <w:t>值或温度改变其物理或化学性质发生转换的材料提供了一种新的途径。三联吡啶的化合物通过自组装形成各种纳米尺度的结构也具有很重要的意义。应用方向的多样性也要求三联吡啶及其复合物结构的多元化。其</w:t>
            </w: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位可取代位置引起了人们很大的兴趣图一列出了三种常见的三联吡啶的结</w:t>
            </w:r>
            <w:r>
              <w:rPr>
                <w:rFonts w:ascii="仿宋" w:eastAsia="仿宋" w:hAnsi="仿宋" w:cs="仿宋" w:hint="eastAsia"/>
                <w:sz w:val="24"/>
                <w:szCs w:val="24"/>
              </w:rPr>
              <w:t>构。迄今为止，大多数含有共轭结构的三联吡啶的复合物都是基于这种被称为</w:t>
            </w:r>
            <w:r>
              <w:rPr>
                <w:rFonts w:ascii="仿宋" w:eastAsia="仿宋" w:hAnsi="仿宋" w:cs="仿宋" w:hint="eastAsia"/>
                <w:sz w:val="24"/>
                <w:szCs w:val="24"/>
              </w:rPr>
              <w:t>Kro</w:t>
            </w:r>
            <w:r>
              <w:rPr>
                <w:rFonts w:ascii="仿宋" w:eastAsia="仿宋" w:hAnsi="仿宋" w:cs="仿宋" w:hint="eastAsia"/>
                <w:sz w:val="24"/>
                <w:szCs w:val="24"/>
              </w:rPr>
              <w:t>¨</w:t>
            </w:r>
            <w:r>
              <w:rPr>
                <w:rFonts w:ascii="仿宋" w:eastAsia="仿宋" w:hAnsi="仿宋" w:cs="仿宋" w:hint="eastAsia"/>
                <w:sz w:val="24"/>
                <w:szCs w:val="24"/>
              </w:rPr>
              <w:t xml:space="preserve"> hnke-motif</w:t>
            </w:r>
            <w:r>
              <w:rPr>
                <w:rFonts w:ascii="仿宋" w:eastAsia="仿宋" w:hAnsi="仿宋" w:cs="仿宋" w:hint="eastAsia"/>
                <w:sz w:val="24"/>
                <w:szCs w:val="24"/>
              </w:rPr>
              <w:t>的在其</w:t>
            </w:r>
            <w:r>
              <w:rPr>
                <w:rFonts w:ascii="仿宋" w:eastAsia="仿宋" w:hAnsi="仿宋" w:cs="仿宋" w:hint="eastAsia"/>
                <w:sz w:val="24"/>
                <w:szCs w:val="24"/>
              </w:rPr>
              <w:t>4</w:t>
            </w:r>
            <w:r>
              <w:rPr>
                <w:rFonts w:ascii="仿宋" w:eastAsia="仿宋" w:hAnsi="仿宋" w:cs="仿宋" w:hint="eastAsia"/>
                <w:sz w:val="24"/>
                <w:szCs w:val="24"/>
              </w:rPr>
              <w:t>位带</w:t>
            </w:r>
            <w:r>
              <w:rPr>
                <w:rFonts w:ascii="仿宋" w:eastAsia="仿宋" w:hAnsi="仿宋" w:cs="仿宋" w:hint="eastAsia"/>
                <w:sz w:val="24"/>
                <w:szCs w:val="24"/>
              </w:rPr>
              <w:lastRenderedPageBreak/>
              <w:t>有一个可官能化的苯环。具有刚性</w:t>
            </w:r>
            <w:r>
              <w:rPr>
                <w:rFonts w:ascii="仿宋" w:eastAsia="仿宋" w:hAnsi="仿宋" w:cs="仿宋" w:hint="eastAsia"/>
                <w:sz w:val="24"/>
                <w:szCs w:val="24"/>
              </w:rPr>
              <w:t>U</w:t>
            </w:r>
            <w:r>
              <w:rPr>
                <w:rFonts w:ascii="仿宋" w:eastAsia="仿宋" w:hAnsi="仿宋" w:cs="仿宋" w:hint="eastAsia"/>
                <w:sz w:val="24"/>
                <w:szCs w:val="24"/>
              </w:rPr>
              <w:t>型结构的</w:t>
            </w:r>
            <w:r>
              <w:rPr>
                <w:rFonts w:ascii="仿宋" w:eastAsia="仿宋" w:hAnsi="仿宋" w:cs="仿宋" w:hint="eastAsia"/>
                <w:sz w:val="24"/>
                <w:szCs w:val="24"/>
              </w:rPr>
              <w:t>2</w:t>
            </w:r>
            <w:r>
              <w:rPr>
                <w:rFonts w:ascii="仿宋" w:eastAsia="仿宋" w:hAnsi="仿宋" w:cs="仿宋" w:hint="eastAsia"/>
                <w:sz w:val="24"/>
                <w:szCs w:val="24"/>
              </w:rPr>
              <w:t>由于难合成一般应用很少。</w:t>
            </w:r>
            <w:r>
              <w:rPr>
                <w:rFonts w:ascii="仿宋" w:eastAsia="仿宋" w:hAnsi="仿宋" w:cs="仿宋" w:hint="eastAsia"/>
                <w:sz w:val="24"/>
                <w:szCs w:val="24"/>
              </w:rPr>
              <w:t>Ziessel</w:t>
            </w:r>
            <w:r>
              <w:rPr>
                <w:rFonts w:ascii="仿宋" w:eastAsia="仿宋" w:hAnsi="仿宋" w:cs="仿宋" w:hint="eastAsia"/>
                <w:sz w:val="24"/>
                <w:szCs w:val="24"/>
              </w:rPr>
              <w:t>型三联吡啶其</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共轭结构通过炔基得到延伸一般用于电子转移的过程。</w:t>
            </w:r>
          </w:p>
          <w:tbl>
            <w:tblPr>
              <w:tblW w:w="10173" w:type="dxa"/>
              <w:tblLayout w:type="fixed"/>
              <w:tblLook w:val="04A0" w:firstRow="1" w:lastRow="0" w:firstColumn="1" w:lastColumn="0" w:noHBand="0" w:noVBand="1"/>
            </w:tblPr>
            <w:tblGrid>
              <w:gridCol w:w="10173"/>
            </w:tblGrid>
            <w:tr w:rsidR="005112FD">
              <w:tc>
                <w:tcPr>
                  <w:tcW w:w="10173"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4032250" cy="1079500"/>
                        <wp:effectExtent l="0" t="0" r="635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032250" cy="1079500"/>
                                </a:xfrm>
                                <a:prstGeom prst="rect">
                                  <a:avLst/>
                                </a:prstGeom>
                                <a:noFill/>
                                <a:ln w="9525">
                                  <a:noFill/>
                                </a:ln>
                              </pic:spPr>
                            </pic:pic>
                          </a:graphicData>
                        </a:graphic>
                      </wp:inline>
                    </w:drawing>
                  </w:r>
                </w:p>
              </w:tc>
            </w:tr>
            <w:tr w:rsidR="005112FD">
              <w:tc>
                <w:tcPr>
                  <w:tcW w:w="10173" w:type="dxa"/>
                  <w:shd w:val="clear" w:color="auto" w:fill="auto"/>
                </w:tcPr>
                <w:p w:rsidR="005112FD" w:rsidRDefault="009B01B3">
                  <w:pP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 1. </w:t>
                  </w:r>
                  <w:r>
                    <w:rPr>
                      <w:rFonts w:ascii="仿宋" w:eastAsia="仿宋" w:hAnsi="仿宋" w:cs="仿宋" w:hint="eastAsia"/>
                      <w:sz w:val="24"/>
                      <w:szCs w:val="24"/>
                    </w:rPr>
                    <w:t>三种不同类型的三联吡啶</w:t>
                  </w:r>
                  <w:r>
                    <w:rPr>
                      <w:rFonts w:ascii="仿宋" w:eastAsia="仿宋" w:hAnsi="仿宋" w:cs="仿宋" w:hint="eastAsia"/>
                      <w:sz w:val="24"/>
                      <w:szCs w:val="24"/>
                    </w:rPr>
                    <w:t>Kro</w:t>
                  </w:r>
                  <w:r>
                    <w:rPr>
                      <w:rFonts w:ascii="仿宋" w:eastAsia="仿宋" w:hAnsi="仿宋" w:cs="仿宋" w:hint="eastAsia"/>
                      <w:sz w:val="24"/>
                      <w:szCs w:val="24"/>
                    </w:rPr>
                    <w:t>¨</w:t>
                  </w:r>
                  <w:r>
                    <w:rPr>
                      <w:rFonts w:ascii="仿宋" w:eastAsia="仿宋" w:hAnsi="仿宋" w:cs="仿宋" w:hint="eastAsia"/>
                      <w:sz w:val="24"/>
                      <w:szCs w:val="24"/>
                    </w:rPr>
                    <w:t xml:space="preserve"> hnke-type (1), a rigid U-shaped (2, n = 0, 1 or 2) and a Ziessel-type terpyridine (3).</w:t>
                  </w:r>
                </w:p>
              </w:tc>
            </w:tr>
          </w:tbl>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在光物理、光化学中，分子一般处于基态，也就是能量最低的状态，而此时分子也符合能量最低原理和</w:t>
            </w:r>
            <w:r>
              <w:rPr>
                <w:rFonts w:ascii="仿宋" w:eastAsia="仿宋" w:hAnsi="仿宋" w:cs="仿宋" w:hint="eastAsia"/>
                <w:sz w:val="24"/>
                <w:szCs w:val="24"/>
              </w:rPr>
              <w:t xml:space="preserve"> Pauli</w:t>
            </w:r>
            <w:r>
              <w:rPr>
                <w:rFonts w:ascii="仿宋" w:eastAsia="仿宋" w:hAnsi="仿宋" w:cs="仿宋" w:hint="eastAsia"/>
                <w:sz w:val="24"/>
                <w:szCs w:val="24"/>
              </w:rPr>
              <w:t>规则。如果一个分子受到光的辐射，那么它的能量就会达到一个更高的数值，就认为它被激发了，这时分子会处于一种能量较高且不稳定的状态，称之为激发态，分子由低能量状态被激发到高能量状态，称为跃迁，而这一过程需要吸收能量。当分子处于激发态时，分子不稳定，需要重新释放能量返回到基态，这一过程叫激发态的失活或者淬灭，这种失活既可以是分子内的也可以是分子间的；既可以是物理失活也可以是化学失活。一般将失活方式分为辐射跃迁和非</w:t>
            </w:r>
            <w:r>
              <w:rPr>
                <w:rFonts w:ascii="仿宋" w:eastAsia="仿宋" w:hAnsi="仿宋" w:cs="仿宋" w:hint="eastAsia"/>
                <w:sz w:val="24"/>
                <w:szCs w:val="24"/>
              </w:rPr>
              <w:t>辐射跃迁，辐射跃迁分为两种：荧光和磷光；非辐射跃迁分为系间跨越、内转移、外转移、振动弛豫</w:t>
            </w:r>
            <w:r>
              <w:rPr>
                <w:rFonts w:ascii="仿宋" w:eastAsia="仿宋" w:hAnsi="仿宋" w:cs="仿宋" w:hint="eastAsia"/>
                <w:sz w:val="24"/>
                <w:szCs w:val="24"/>
                <w:vertAlign w:val="superscript"/>
              </w:rPr>
              <w:t>[21]</w:t>
            </w:r>
            <w:r>
              <w:rPr>
                <w:rFonts w:ascii="仿宋" w:eastAsia="仿宋" w:hAnsi="仿宋" w:cs="仿宋" w:hint="eastAsia"/>
                <w:sz w:val="24"/>
                <w:szCs w:val="24"/>
              </w:rPr>
              <w:t>。如下</w:t>
            </w:r>
            <w:r>
              <w:rPr>
                <w:rFonts w:ascii="仿宋" w:eastAsia="仿宋" w:hAnsi="仿宋" w:cs="仿宋" w:hint="eastAsia"/>
                <w:sz w:val="24"/>
                <w:szCs w:val="24"/>
              </w:rPr>
              <w:t xml:space="preserve"> Jablonski</w:t>
            </w:r>
            <w:r>
              <w:rPr>
                <w:rFonts w:ascii="仿宋" w:eastAsia="仿宋" w:hAnsi="仿宋" w:cs="仿宋" w:hint="eastAsia"/>
                <w:sz w:val="24"/>
                <w:szCs w:val="24"/>
              </w:rPr>
              <w:t>能级图（图</w:t>
            </w:r>
            <w:r>
              <w:rPr>
                <w:rFonts w:ascii="仿宋" w:eastAsia="仿宋" w:hAnsi="仿宋" w:cs="仿宋" w:hint="eastAsia"/>
                <w:sz w:val="24"/>
                <w:szCs w:val="24"/>
              </w:rPr>
              <w:t>2</w:t>
            </w:r>
            <w:r>
              <w:rPr>
                <w:rFonts w:ascii="仿宋" w:eastAsia="仿宋" w:hAnsi="仿宋" w:cs="仿宋" w:hint="eastAsia"/>
                <w:sz w:val="24"/>
                <w:szCs w:val="24"/>
              </w:rPr>
              <w:t>）</w:t>
            </w:r>
          </w:p>
          <w:tbl>
            <w:tblPr>
              <w:tblW w:w="10173" w:type="dxa"/>
              <w:tblLayout w:type="fixed"/>
              <w:tblLook w:val="04A0" w:firstRow="1" w:lastRow="0" w:firstColumn="1" w:lastColumn="0" w:noHBand="0" w:noVBand="1"/>
            </w:tblPr>
            <w:tblGrid>
              <w:gridCol w:w="10173"/>
            </w:tblGrid>
            <w:tr w:rsidR="005112FD">
              <w:tc>
                <w:tcPr>
                  <w:tcW w:w="10173"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2425700" cy="1803400"/>
                        <wp:effectExtent l="0" t="0" r="12700"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2425700" cy="1803400"/>
                                </a:xfrm>
                                <a:prstGeom prst="rect">
                                  <a:avLst/>
                                </a:prstGeom>
                                <a:noFill/>
                                <a:ln w="9525">
                                  <a:noFill/>
                                </a:ln>
                              </pic:spPr>
                            </pic:pic>
                          </a:graphicData>
                        </a:graphic>
                      </wp:inline>
                    </w:drawing>
                  </w:r>
                </w:p>
              </w:tc>
            </w:tr>
            <w:tr w:rsidR="005112FD">
              <w:tc>
                <w:tcPr>
                  <w:tcW w:w="10173"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2. Jablonski </w:t>
                  </w:r>
                  <w:r>
                    <w:rPr>
                      <w:rFonts w:ascii="仿宋" w:eastAsia="仿宋" w:hAnsi="仿宋" w:cs="仿宋" w:hint="eastAsia"/>
                      <w:sz w:val="24"/>
                      <w:szCs w:val="24"/>
                    </w:rPr>
                    <w:t>能级图</w:t>
                  </w:r>
                </w:p>
              </w:tc>
            </w:tr>
          </w:tbl>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对于荧光的认识，是在</w:t>
            </w:r>
            <w:r>
              <w:rPr>
                <w:rFonts w:ascii="仿宋" w:eastAsia="仿宋" w:hAnsi="仿宋" w:cs="仿宋" w:hint="eastAsia"/>
                <w:sz w:val="24"/>
                <w:szCs w:val="24"/>
              </w:rPr>
              <w:t>1852</w:t>
            </w:r>
            <w:r>
              <w:rPr>
                <w:rFonts w:ascii="仿宋" w:eastAsia="仿宋" w:hAnsi="仿宋" w:cs="仿宋" w:hint="eastAsia"/>
                <w:sz w:val="24"/>
                <w:szCs w:val="24"/>
              </w:rPr>
              <w:t>年，</w:t>
            </w:r>
            <w:r>
              <w:rPr>
                <w:rFonts w:ascii="仿宋" w:eastAsia="仿宋" w:hAnsi="仿宋" w:cs="仿宋" w:hint="eastAsia"/>
                <w:sz w:val="24"/>
                <w:szCs w:val="24"/>
              </w:rPr>
              <w:t>Stokes</w:t>
            </w:r>
            <w:r>
              <w:rPr>
                <w:rFonts w:ascii="仿宋" w:eastAsia="仿宋" w:hAnsi="仿宋" w:cs="仿宋" w:hint="eastAsia"/>
                <w:sz w:val="24"/>
                <w:szCs w:val="24"/>
              </w:rPr>
              <w:t>在考察叶绿素发光时发现了一些物质在短波长的照射下能发出更长波长的光，他把这种光定义为―荧光，通常对荧光的研究都是在极稀的溶液中进行的，这样分子间相互分离，不会互相干扰，实际上是由于许多有机分子在稀溶液中发光很强，但是在高浓度中会聚集后荧光变弱甚至消失，这就是众所周知的―聚集导致淬（</w:t>
            </w:r>
            <w:r>
              <w:rPr>
                <w:rFonts w:ascii="仿宋" w:eastAsia="仿宋" w:hAnsi="仿宋" w:cs="仿宋" w:hint="eastAsia"/>
                <w:sz w:val="24"/>
                <w:szCs w:val="24"/>
              </w:rPr>
              <w:t>AC</w:t>
            </w:r>
            <w:r>
              <w:rPr>
                <w:rFonts w:ascii="仿宋" w:eastAsia="仿宋" w:hAnsi="仿宋" w:cs="仿宋" w:hint="eastAsia"/>
                <w:sz w:val="24"/>
                <w:szCs w:val="24"/>
              </w:rPr>
              <w:t>Q</w:t>
            </w:r>
            <w:r>
              <w:rPr>
                <w:rFonts w:ascii="仿宋" w:eastAsia="仿宋" w:hAnsi="仿宋" w:cs="仿宋" w:hint="eastAsia"/>
                <w:sz w:val="24"/>
                <w:szCs w:val="24"/>
              </w:rPr>
              <w:t>）现象</w:t>
            </w:r>
            <w:r>
              <w:rPr>
                <w:rFonts w:ascii="仿宋" w:eastAsia="仿宋" w:hAnsi="仿宋" w:cs="仿宋" w:hint="eastAsia"/>
                <w:sz w:val="24"/>
                <w:szCs w:val="24"/>
                <w:vertAlign w:val="superscript"/>
              </w:rPr>
              <w:t>22</w:t>
            </w: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t>在</w:t>
            </w:r>
            <w:r>
              <w:rPr>
                <w:rFonts w:ascii="仿宋" w:eastAsia="仿宋" w:hAnsi="仿宋" w:cs="仿宋" w:hint="eastAsia"/>
                <w:sz w:val="24"/>
                <w:szCs w:val="24"/>
              </w:rPr>
              <w:t xml:space="preserve"> 2001 </w:t>
            </w:r>
            <w:r>
              <w:rPr>
                <w:rFonts w:ascii="仿宋" w:eastAsia="仿宋" w:hAnsi="仿宋" w:cs="仿宋" w:hint="eastAsia"/>
                <w:sz w:val="24"/>
                <w:szCs w:val="24"/>
              </w:rPr>
              <w:t>年唐本忠课题组发现硅杂环戊二烯</w:t>
            </w:r>
            <w:r>
              <w:rPr>
                <w:rFonts w:ascii="仿宋" w:eastAsia="仿宋" w:hAnsi="仿宋" w:cs="仿宋" w:hint="eastAsia"/>
                <w:sz w:val="24"/>
                <w:szCs w:val="24"/>
              </w:rPr>
              <w:lastRenderedPageBreak/>
              <w:t>（</w:t>
            </w:r>
            <w:r>
              <w:rPr>
                <w:rFonts w:ascii="仿宋" w:eastAsia="仿宋" w:hAnsi="仿宋" w:cs="仿宋" w:hint="eastAsia"/>
                <w:sz w:val="24"/>
                <w:szCs w:val="24"/>
              </w:rPr>
              <w:t>Silole</w:t>
            </w:r>
            <w:r>
              <w:rPr>
                <w:rFonts w:ascii="仿宋" w:eastAsia="仿宋" w:hAnsi="仿宋" w:cs="仿宋" w:hint="eastAsia"/>
                <w:sz w:val="24"/>
                <w:szCs w:val="24"/>
              </w:rPr>
              <w:t>）衍生物在溶液中不发光，但在聚集状态下具有很强的荧光发射性能，并将这一现象命名为聚集诱导发光（</w:t>
            </w:r>
            <w:r>
              <w:rPr>
                <w:rFonts w:ascii="仿宋" w:eastAsia="仿宋" w:hAnsi="仿宋" w:cs="仿宋" w:hint="eastAsia"/>
                <w:sz w:val="24"/>
                <w:szCs w:val="24"/>
              </w:rPr>
              <w:t>AggregationInduced Emission, AIE</w:t>
            </w:r>
            <w:r>
              <w:rPr>
                <w:rFonts w:ascii="仿宋" w:eastAsia="仿宋" w:hAnsi="仿宋" w:cs="仿宋" w:hint="eastAsia"/>
                <w:sz w:val="24"/>
                <w:szCs w:val="24"/>
              </w:rPr>
              <w:t>）</w:t>
            </w:r>
            <w:r>
              <w:rPr>
                <w:rFonts w:ascii="仿宋" w:eastAsia="仿宋" w:hAnsi="仿宋" w:cs="仿宋" w:hint="eastAsia"/>
                <w:sz w:val="24"/>
                <w:szCs w:val="24"/>
                <w:vertAlign w:val="superscript"/>
              </w:rPr>
              <w:t>23</w:t>
            </w:r>
            <w:r>
              <w:rPr>
                <w:rFonts w:ascii="仿宋" w:eastAsia="仿宋" w:hAnsi="仿宋" w:cs="仿宋" w:hint="eastAsia"/>
                <w:sz w:val="24"/>
                <w:szCs w:val="24"/>
              </w:rPr>
              <w:t xml:space="preserve"> </w:t>
            </w:r>
            <w:r>
              <w:rPr>
                <w:rFonts w:ascii="仿宋" w:eastAsia="仿宋" w:hAnsi="仿宋" w:cs="仿宋" w:hint="eastAsia"/>
                <w:sz w:val="24"/>
                <w:szCs w:val="24"/>
              </w:rPr>
              <w:t>分子内旋转受限机理：在分子内部可以通过共价键或者卡住分子构型来抑制分子内旋转和提高发光效率。以硅杂环戊二烯（如图</w:t>
            </w:r>
            <w:r>
              <w:rPr>
                <w:rFonts w:ascii="仿宋" w:eastAsia="仿宋" w:hAnsi="仿宋" w:cs="仿宋" w:hint="eastAsia"/>
                <w:sz w:val="24"/>
                <w:szCs w:val="24"/>
              </w:rPr>
              <w:t>3</w:t>
            </w:r>
            <w:r>
              <w:rPr>
                <w:rFonts w:ascii="仿宋" w:eastAsia="仿宋" w:hAnsi="仿宋" w:cs="仿宋" w:hint="eastAsia"/>
                <w:sz w:val="24"/>
                <w:szCs w:val="24"/>
              </w:rPr>
              <w:t>）为例，在良溶剂乙醇中其荧光量子产率仅为</w:t>
            </w:r>
            <w:r>
              <w:rPr>
                <w:rFonts w:ascii="仿宋" w:eastAsia="仿宋" w:hAnsi="仿宋" w:cs="仿宋" w:hint="eastAsia"/>
                <w:sz w:val="24"/>
                <w:szCs w:val="24"/>
              </w:rPr>
              <w:t xml:space="preserve"> 0.063%</w:t>
            </w:r>
            <w:r>
              <w:rPr>
                <w:rFonts w:ascii="仿宋" w:eastAsia="仿宋" w:hAnsi="仿宋" w:cs="仿宋" w:hint="eastAsia"/>
                <w:sz w:val="24"/>
                <w:szCs w:val="24"/>
              </w:rPr>
              <w:t>；而当我们将其不良溶剂水加入到其中时，且随着不良溶剂的增加，其荧光强度明显增强，当水含量达到</w:t>
            </w:r>
            <w:r>
              <w:rPr>
                <w:rFonts w:ascii="仿宋" w:eastAsia="仿宋" w:hAnsi="仿宋" w:cs="仿宋" w:hint="eastAsia"/>
                <w:sz w:val="24"/>
                <w:szCs w:val="24"/>
              </w:rPr>
              <w:t xml:space="preserve"> 90%</w:t>
            </w:r>
            <w:r>
              <w:rPr>
                <w:rFonts w:ascii="仿宋" w:eastAsia="仿宋" w:hAnsi="仿宋" w:cs="仿宋" w:hint="eastAsia"/>
                <w:sz w:val="24"/>
                <w:szCs w:val="24"/>
              </w:rPr>
              <w:t>时，</w:t>
            </w:r>
            <w:r>
              <w:rPr>
                <w:rFonts w:ascii="仿宋" w:eastAsia="仿宋" w:hAnsi="仿宋" w:cs="仿宋" w:hint="eastAsia"/>
                <w:sz w:val="24"/>
                <w:szCs w:val="24"/>
              </w:rPr>
              <w:t>其荧光量子产率是其在良溶剂中的</w:t>
            </w:r>
            <w:r>
              <w:rPr>
                <w:rFonts w:ascii="仿宋" w:eastAsia="仿宋" w:hAnsi="仿宋" w:cs="仿宋" w:hint="eastAsia"/>
                <w:sz w:val="24"/>
                <w:szCs w:val="24"/>
              </w:rPr>
              <w:t>330</w:t>
            </w:r>
            <w:r>
              <w:rPr>
                <w:rFonts w:ascii="仿宋" w:eastAsia="仿宋" w:hAnsi="仿宋" w:cs="仿宋" w:hint="eastAsia"/>
                <w:sz w:val="24"/>
                <w:szCs w:val="24"/>
              </w:rPr>
              <w:t>倍。这是由于其外围想芳香族取代基通过单键与中心相连，在溶液中这些芳香取代基可以自由的旋转将激发态的能量耗散成为一个非辐射衰变导致荧光减弱，而在聚集态时，分子的空间限制，其外围的芳香族取代基旋转受到抑制，激发态的能量通过辐射荧光将能量耗散，因此，其荧光强度得到显著增强。</w:t>
            </w:r>
          </w:p>
          <w:tbl>
            <w:tblPr>
              <w:tblW w:w="10173" w:type="dxa"/>
              <w:tblLayout w:type="fixed"/>
              <w:tblLook w:val="04A0" w:firstRow="1" w:lastRow="0" w:firstColumn="1" w:lastColumn="0" w:noHBand="0" w:noVBand="1"/>
            </w:tblPr>
            <w:tblGrid>
              <w:gridCol w:w="10173"/>
            </w:tblGrid>
            <w:tr w:rsidR="005112FD">
              <w:tc>
                <w:tcPr>
                  <w:tcW w:w="10173"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3937000" cy="1441450"/>
                        <wp:effectExtent l="0" t="0" r="1016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937000" cy="1441450"/>
                                </a:xfrm>
                                <a:prstGeom prst="rect">
                                  <a:avLst/>
                                </a:prstGeom>
                                <a:noFill/>
                                <a:ln w="9525">
                                  <a:noFill/>
                                </a:ln>
                              </pic:spPr>
                            </pic:pic>
                          </a:graphicData>
                        </a:graphic>
                      </wp:inline>
                    </w:drawing>
                  </w:r>
                </w:p>
              </w:tc>
            </w:tr>
            <w:tr w:rsidR="005112FD">
              <w:tc>
                <w:tcPr>
                  <w:tcW w:w="10173"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3. </w:t>
                  </w:r>
                  <w:r>
                    <w:rPr>
                      <w:rFonts w:ascii="仿宋" w:eastAsia="仿宋" w:hAnsi="仿宋" w:cs="仿宋" w:hint="eastAsia"/>
                      <w:sz w:val="24"/>
                      <w:szCs w:val="24"/>
                    </w:rPr>
                    <w:t>硅杂环戊二烯的结构及其不同水含量的乙氰</w:t>
                  </w:r>
                  <w:r>
                    <w:rPr>
                      <w:rFonts w:ascii="仿宋" w:eastAsia="仿宋" w:hAnsi="仿宋" w:cs="仿宋" w:hint="eastAsia"/>
                      <w:sz w:val="24"/>
                      <w:szCs w:val="24"/>
                    </w:rPr>
                    <w:t>-</w:t>
                  </w:r>
                  <w:r>
                    <w:rPr>
                      <w:rFonts w:ascii="仿宋" w:eastAsia="仿宋" w:hAnsi="仿宋" w:cs="仿宋" w:hint="eastAsia"/>
                      <w:sz w:val="24"/>
                      <w:szCs w:val="24"/>
                    </w:rPr>
                    <w:t>水混合溶液</w:t>
                  </w:r>
                </w:p>
              </w:tc>
            </w:tr>
          </w:tbl>
          <w:p w:rsidR="005112FD" w:rsidRDefault="005112FD">
            <w:pPr>
              <w:rPr>
                <w:rFonts w:ascii="仿宋" w:eastAsia="仿宋" w:hAnsi="仿宋" w:cs="仿宋"/>
                <w:sz w:val="24"/>
                <w:szCs w:val="24"/>
              </w:rPr>
            </w:pP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冷光是分子处于激发态的分子具有的发射，这个现象对于现代的光电器件（激光，显示器，感应器，等）具有重要的意义。冷光根据其在辐射转移是自旋允许还是自旋禁止可分为荧光和磷光。对于一些特殊的器件如发光二极管，或者基于时间差检测的冷光感应器磷光比荧光是有优势的。对于一个典型的有机分子其基态是一个单线态（</w:t>
            </w:r>
            <w:r>
              <w:rPr>
                <w:rFonts w:ascii="仿宋" w:eastAsia="仿宋" w:hAnsi="仿宋" w:cs="仿宋" w:hint="eastAsia"/>
                <w:sz w:val="24"/>
                <w:szCs w:val="24"/>
              </w:rPr>
              <w:t>S</w:t>
            </w:r>
            <w:r>
              <w:rPr>
                <w:rFonts w:ascii="仿宋" w:eastAsia="仿宋" w:hAnsi="仿宋" w:cs="仿宋" w:hint="eastAsia"/>
                <w:sz w:val="24"/>
                <w:szCs w:val="24"/>
                <w:vertAlign w:val="subscript"/>
              </w:rPr>
              <w:t>0</w:t>
            </w:r>
            <w:r>
              <w:rPr>
                <w:rFonts w:ascii="仿宋" w:eastAsia="仿宋" w:hAnsi="仿宋" w:cs="仿宋" w:hint="eastAsia"/>
                <w:sz w:val="24"/>
                <w:szCs w:val="24"/>
              </w:rPr>
              <w:t>）其最低能量激发态是单线态（</w:t>
            </w:r>
            <w:r>
              <w:rPr>
                <w:rFonts w:ascii="仿宋" w:eastAsia="仿宋" w:hAnsi="仿宋" w:cs="仿宋" w:hint="eastAsia"/>
                <w:sz w:val="24"/>
                <w:szCs w:val="24"/>
              </w:rPr>
              <w:t>S1</w:t>
            </w:r>
            <w:r>
              <w:rPr>
                <w:rFonts w:ascii="仿宋" w:eastAsia="仿宋" w:hAnsi="仿宋" w:cs="仿宋" w:hint="eastAsia"/>
                <w:sz w:val="24"/>
                <w:szCs w:val="24"/>
              </w:rPr>
              <w:t>）或者三线态（</w:t>
            </w:r>
            <w:r>
              <w:rPr>
                <w:rFonts w:ascii="仿宋" w:eastAsia="仿宋" w:hAnsi="仿宋" w:cs="仿宋" w:hint="eastAsia"/>
                <w:sz w:val="24"/>
                <w:szCs w:val="24"/>
              </w:rPr>
              <w:t>T1</w:t>
            </w:r>
            <w:r>
              <w:rPr>
                <w:rFonts w:ascii="仿宋" w:eastAsia="仿宋" w:hAnsi="仿宋" w:cs="仿宋" w:hint="eastAsia"/>
                <w:sz w:val="24"/>
                <w:szCs w:val="24"/>
              </w:rPr>
              <w:t>）。根据自旋统计学，发光二极管器件</w:t>
            </w:r>
            <w:r>
              <w:rPr>
                <w:rFonts w:ascii="仿宋" w:eastAsia="仿宋" w:hAnsi="仿宋" w:cs="仿宋" w:hint="eastAsia"/>
                <w:sz w:val="24"/>
                <w:szCs w:val="24"/>
              </w:rPr>
              <w:t>T1</w:t>
            </w:r>
            <w:r>
              <w:rPr>
                <w:rFonts w:ascii="仿宋" w:eastAsia="仿宋" w:hAnsi="仿宋" w:cs="仿宋" w:hint="eastAsia"/>
                <w:sz w:val="24"/>
                <w:szCs w:val="24"/>
              </w:rPr>
              <w:t>激发态的有效自旋粒子是</w:t>
            </w:r>
            <w:r>
              <w:rPr>
                <w:rFonts w:ascii="仿宋" w:eastAsia="仿宋" w:hAnsi="仿宋" w:cs="仿宋" w:hint="eastAsia"/>
                <w:sz w:val="24"/>
                <w:szCs w:val="24"/>
              </w:rPr>
              <w:t>S1</w:t>
            </w:r>
            <w:r>
              <w:rPr>
                <w:rFonts w:ascii="仿宋" w:eastAsia="仿宋" w:hAnsi="仿宋" w:cs="仿宋" w:hint="eastAsia"/>
                <w:sz w:val="24"/>
                <w:szCs w:val="24"/>
              </w:rPr>
              <w:t>态的</w:t>
            </w:r>
            <w:r>
              <w:rPr>
                <w:rFonts w:ascii="仿宋" w:eastAsia="仿宋" w:hAnsi="仿宋" w:cs="仿宋" w:hint="eastAsia"/>
                <w:sz w:val="24"/>
                <w:szCs w:val="24"/>
              </w:rPr>
              <w:t>3</w:t>
            </w:r>
            <w:r>
              <w:rPr>
                <w:rFonts w:ascii="仿宋" w:eastAsia="仿宋" w:hAnsi="仿宋" w:cs="仿宋" w:hint="eastAsia"/>
                <w:sz w:val="24"/>
                <w:szCs w:val="24"/>
              </w:rPr>
              <w:t>倍，因此使用磷光分子是优于荧光分子的。对于生物感应或成像过程寿命更长的磷光也具有明显的优势。冷</w:t>
            </w:r>
            <w:r>
              <w:rPr>
                <w:rFonts w:ascii="仿宋" w:eastAsia="仿宋" w:hAnsi="仿宋" w:cs="仿宋" w:hint="eastAsia"/>
                <w:sz w:val="24"/>
                <w:szCs w:val="24"/>
              </w:rPr>
              <w:t>光在激发之后的一段时间能被观察到，因此生物样本自身的短寿命的荧光会猝灭掉。</w:t>
            </w:r>
          </w:p>
          <w:p w:rsidR="005112FD" w:rsidRDefault="009B01B3">
            <w:pPr>
              <w:spacing w:line="360" w:lineRule="auto"/>
              <w:ind w:firstLineChars="200" w:firstLine="480"/>
              <w:rPr>
                <w:rFonts w:ascii="仿宋" w:eastAsia="仿宋" w:hAnsi="仿宋" w:cs="仿宋"/>
                <w:sz w:val="24"/>
                <w:szCs w:val="24"/>
              </w:rPr>
            </w:pPr>
            <w:bookmarkStart w:id="13" w:name="OLE_LINK2"/>
            <w:bookmarkStart w:id="14" w:name="OLE_LINK1"/>
            <w:r>
              <w:rPr>
                <w:rFonts w:ascii="仿宋" w:eastAsia="仿宋" w:hAnsi="仿宋" w:cs="仿宋" w:hint="eastAsia"/>
                <w:sz w:val="24"/>
                <w:szCs w:val="24"/>
              </w:rPr>
              <w:t>在过去几十年里人们对高发射效率的磷光材料越来越关注。大多数的样品都是基于金属离子化合物因为重金属原子的存在能提高磷光在激发态的效率。到目前为止也只报道了很少几个具有高效率磷光量子产率的分子</w:t>
            </w:r>
            <w:bookmarkEnd w:id="13"/>
            <w:bookmarkEnd w:id="14"/>
            <w:r>
              <w:rPr>
                <w:rFonts w:ascii="仿宋" w:eastAsia="仿宋" w:hAnsi="仿宋" w:cs="仿宋" w:hint="eastAsia"/>
                <w:sz w:val="24"/>
                <w:szCs w:val="24"/>
              </w:rPr>
              <w:t>。这些分子的缺少主要与具有芳香基团在高浓度或固态时由于</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作用而倾向于聚集有关。由于这会导致浓度猝灭因此对其发</w:t>
            </w:r>
            <w:r>
              <w:rPr>
                <w:rFonts w:ascii="仿宋" w:eastAsia="仿宋" w:hAnsi="仿宋" w:cs="仿宋" w:hint="eastAsia"/>
                <w:sz w:val="24"/>
                <w:szCs w:val="24"/>
              </w:rPr>
              <w:lastRenderedPageBreak/>
              <w:t>射性质是很不利的。其冷光激发态通过非辐射途径衰减，比如其激发态分子与基态分子之间形成激基缔合物，或者三重态</w:t>
            </w:r>
            <w:r>
              <w:rPr>
                <w:rFonts w:ascii="仿宋" w:eastAsia="仿宋" w:hAnsi="仿宋" w:cs="仿宋" w:hint="eastAsia"/>
                <w:sz w:val="24"/>
                <w:szCs w:val="24"/>
              </w:rPr>
              <w:t>-</w:t>
            </w:r>
            <w:r>
              <w:rPr>
                <w:rFonts w:ascii="仿宋" w:eastAsia="仿宋" w:hAnsi="仿宋" w:cs="仿宋" w:hint="eastAsia"/>
                <w:sz w:val="24"/>
                <w:szCs w:val="24"/>
              </w:rPr>
              <w:t>三重态湮灭。其通常在溶液里能</w:t>
            </w:r>
            <w:r>
              <w:rPr>
                <w:rFonts w:ascii="仿宋" w:eastAsia="仿宋" w:hAnsi="仿宋" w:cs="仿宋" w:hint="eastAsia"/>
                <w:sz w:val="24"/>
                <w:szCs w:val="24"/>
              </w:rPr>
              <w:t>发射很强的冷光，但在高浓度或者固态时其冷光却变得很弱，这阻碍了其在固态器件的应用。受到这些启发，人们研究了一些结合了</w:t>
            </w:r>
            <w:r>
              <w:rPr>
                <w:rFonts w:ascii="仿宋" w:eastAsia="仿宋" w:hAnsi="仿宋" w:cs="仿宋" w:hint="eastAsia"/>
                <w:sz w:val="24"/>
                <w:szCs w:val="24"/>
              </w:rPr>
              <w:t>AIE</w:t>
            </w:r>
            <w:r>
              <w:rPr>
                <w:rFonts w:ascii="仿宋" w:eastAsia="仿宋" w:hAnsi="仿宋" w:cs="仿宋" w:hint="eastAsia"/>
                <w:sz w:val="24"/>
                <w:szCs w:val="24"/>
              </w:rPr>
              <w:t>发色基团和金属离子配体的结合体。磷光</w:t>
            </w:r>
            <w:r>
              <w:rPr>
                <w:rFonts w:ascii="仿宋" w:eastAsia="仿宋" w:hAnsi="仿宋" w:cs="仿宋" w:hint="eastAsia"/>
                <w:sz w:val="24"/>
                <w:szCs w:val="24"/>
              </w:rPr>
              <w:t>AIE</w:t>
            </w:r>
            <w:r>
              <w:rPr>
                <w:rFonts w:ascii="仿宋" w:eastAsia="仿宋" w:hAnsi="仿宋" w:cs="仿宋" w:hint="eastAsia"/>
                <w:sz w:val="24"/>
                <w:szCs w:val="24"/>
              </w:rPr>
              <w:t>体系是特别有意思的。在检测系统里它允许时间差检测排除了样品自身的荧光现象。对于有机发光二极管磷光材料理论上最大的效率可以达到</w:t>
            </w:r>
            <w:r>
              <w:rPr>
                <w:rFonts w:ascii="仿宋" w:eastAsia="仿宋" w:hAnsi="仿宋" w:cs="仿宋" w:hint="eastAsia"/>
                <w:sz w:val="24"/>
                <w:szCs w:val="24"/>
              </w:rPr>
              <w:t>100%</w:t>
            </w:r>
            <w:r>
              <w:rPr>
                <w:rFonts w:ascii="仿宋" w:eastAsia="仿宋" w:hAnsi="仿宋" w:cs="仿宋" w:hint="eastAsia"/>
                <w:sz w:val="24"/>
                <w:szCs w:val="24"/>
              </w:rPr>
              <w:t>远远大于荧光</w:t>
            </w:r>
            <w:r>
              <w:rPr>
                <w:rFonts w:ascii="仿宋" w:eastAsia="仿宋" w:hAnsi="仿宋" w:cs="仿宋" w:hint="eastAsia"/>
                <w:sz w:val="24"/>
                <w:szCs w:val="24"/>
              </w:rPr>
              <w:t>25%</w:t>
            </w:r>
            <w:r>
              <w:rPr>
                <w:rFonts w:ascii="仿宋" w:eastAsia="仿宋" w:hAnsi="仿宋" w:cs="仿宋" w:hint="eastAsia"/>
                <w:sz w:val="24"/>
                <w:szCs w:val="24"/>
              </w:rPr>
              <w:t>的效率。最近一篇文献里面报导了一种以</w:t>
            </w:r>
            <w:r>
              <w:rPr>
                <w:rFonts w:ascii="仿宋" w:eastAsia="仿宋" w:hAnsi="仿宋" w:cs="仿宋" w:hint="eastAsia"/>
                <w:sz w:val="24"/>
                <w:szCs w:val="24"/>
              </w:rPr>
              <w:t>6</w:t>
            </w:r>
            <w:r>
              <w:rPr>
                <w:rFonts w:ascii="仿宋" w:eastAsia="仿宋" w:hAnsi="仿宋" w:cs="仿宋" w:hint="eastAsia"/>
                <w:sz w:val="24"/>
                <w:szCs w:val="24"/>
              </w:rPr>
              <w:t>硫苯基为核外围接上</w:t>
            </w:r>
            <w:r>
              <w:rPr>
                <w:rFonts w:ascii="仿宋" w:eastAsia="仿宋" w:hAnsi="仿宋" w:cs="仿宋" w:hint="eastAsia"/>
                <w:sz w:val="24"/>
                <w:szCs w:val="24"/>
              </w:rPr>
              <w:t>6</w:t>
            </w:r>
            <w:r>
              <w:rPr>
                <w:rFonts w:ascii="仿宋" w:eastAsia="仿宋" w:hAnsi="仿宋" w:cs="仿宋" w:hint="eastAsia"/>
                <w:sz w:val="24"/>
                <w:szCs w:val="24"/>
              </w:rPr>
              <w:t>个甲苯基的分子，并通过实验和计算与一个结构与其相似只是其</w:t>
            </w:r>
            <w:r>
              <w:rPr>
                <w:rFonts w:ascii="仿宋" w:eastAsia="仿宋" w:hAnsi="仿宋" w:cs="仿宋" w:hint="eastAsia"/>
                <w:sz w:val="24"/>
                <w:szCs w:val="24"/>
              </w:rPr>
              <w:t>6</w:t>
            </w:r>
            <w:r>
              <w:rPr>
                <w:rFonts w:ascii="仿宋" w:eastAsia="仿宋" w:hAnsi="仿宋" w:cs="仿宋" w:hint="eastAsia"/>
                <w:sz w:val="24"/>
                <w:szCs w:val="24"/>
              </w:rPr>
              <w:t>个甲苯基被</w:t>
            </w:r>
            <w:r>
              <w:rPr>
                <w:rFonts w:ascii="仿宋" w:eastAsia="仿宋" w:hAnsi="仿宋" w:cs="仿宋" w:hint="eastAsia"/>
                <w:sz w:val="24"/>
                <w:szCs w:val="24"/>
              </w:rPr>
              <w:t>6</w:t>
            </w:r>
            <w:r>
              <w:rPr>
                <w:rFonts w:ascii="仿宋" w:eastAsia="仿宋" w:hAnsi="仿宋" w:cs="仿宋" w:hint="eastAsia"/>
                <w:sz w:val="24"/>
                <w:szCs w:val="24"/>
              </w:rPr>
              <w:t>个异丙基取代进行了对比。化合物</w:t>
            </w:r>
            <w:r>
              <w:rPr>
                <w:rFonts w:ascii="仿宋" w:eastAsia="仿宋" w:hAnsi="仿宋" w:cs="仿宋" w:hint="eastAsia"/>
                <w:sz w:val="24"/>
                <w:szCs w:val="24"/>
              </w:rPr>
              <w:t>2</w:t>
            </w:r>
            <w:r>
              <w:rPr>
                <w:rFonts w:ascii="仿宋" w:eastAsia="仿宋" w:hAnsi="仿宋" w:cs="仿宋" w:hint="eastAsia"/>
                <w:sz w:val="24"/>
                <w:szCs w:val="24"/>
              </w:rPr>
              <w:t>在固态和</w:t>
            </w:r>
            <w:r>
              <w:rPr>
                <w:rFonts w:ascii="仿宋" w:eastAsia="仿宋" w:hAnsi="仿宋" w:cs="仿宋" w:hint="eastAsia"/>
                <w:sz w:val="24"/>
                <w:szCs w:val="24"/>
              </w:rPr>
              <w:t>77K</w:t>
            </w:r>
            <w:r>
              <w:rPr>
                <w:rFonts w:ascii="仿宋" w:eastAsia="仿宋" w:hAnsi="仿宋" w:cs="仿宋" w:hint="eastAsia"/>
                <w:sz w:val="24"/>
                <w:szCs w:val="24"/>
              </w:rPr>
              <w:t>的二氯甲烷</w:t>
            </w:r>
            <w:r>
              <w:rPr>
                <w:rFonts w:ascii="仿宋" w:eastAsia="仿宋" w:hAnsi="仿宋" w:cs="仿宋" w:hint="eastAsia"/>
                <w:sz w:val="24"/>
                <w:szCs w:val="24"/>
              </w:rPr>
              <w:t>-</w:t>
            </w:r>
            <w:r>
              <w:rPr>
                <w:rFonts w:ascii="仿宋" w:eastAsia="仿宋" w:hAnsi="仿宋" w:cs="仿宋" w:hint="eastAsia"/>
                <w:sz w:val="24"/>
                <w:szCs w:val="24"/>
              </w:rPr>
              <w:t>甲醇</w:t>
            </w:r>
            <w:r>
              <w:rPr>
                <w:rFonts w:ascii="仿宋" w:eastAsia="仿宋" w:hAnsi="仿宋" w:cs="仿宋" w:hint="eastAsia"/>
                <w:sz w:val="24"/>
                <w:szCs w:val="24"/>
              </w:rPr>
              <w:t>=1:1</w:t>
            </w:r>
            <w:r>
              <w:rPr>
                <w:rFonts w:ascii="仿宋" w:eastAsia="仿宋" w:hAnsi="仿宋" w:cs="仿宋" w:hint="eastAsia"/>
                <w:sz w:val="24"/>
                <w:szCs w:val="24"/>
              </w:rPr>
              <w:t>溶液里面可以发出很强磷光但在室温稀溶液不发光。这个现象是由于</w:t>
            </w:r>
            <w:r>
              <w:rPr>
                <w:rFonts w:ascii="仿宋" w:eastAsia="仿宋" w:hAnsi="仿宋" w:cs="仿宋" w:hint="eastAsia"/>
                <w:sz w:val="24"/>
                <w:szCs w:val="24"/>
              </w:rPr>
              <w:t>C-S</w:t>
            </w:r>
            <w:r>
              <w:rPr>
                <w:rFonts w:ascii="仿宋" w:eastAsia="仿宋" w:hAnsi="仿宋" w:cs="仿宋" w:hint="eastAsia"/>
                <w:sz w:val="24"/>
                <w:szCs w:val="24"/>
              </w:rPr>
              <w:t>键的分子内旋转受限导致甲苯基移动构象减少从而与最低激发态的辐射衰减相比减少非辐射途径衰减。其高效率磷光使其在发光二极管的应用成为可能。在最近的另外一篇文献里报导了一种以苯为核心边上通过硫原子连接接了</w:t>
            </w:r>
            <w:r>
              <w:rPr>
                <w:rFonts w:ascii="仿宋" w:eastAsia="仿宋" w:hAnsi="仿宋" w:cs="仿宋" w:hint="eastAsia"/>
                <w:sz w:val="24"/>
                <w:szCs w:val="24"/>
              </w:rPr>
              <w:t>6</w:t>
            </w:r>
            <w:r>
              <w:rPr>
                <w:rFonts w:ascii="仿宋" w:eastAsia="仿宋" w:hAnsi="仿宋" w:cs="仿宋" w:hint="eastAsia"/>
                <w:sz w:val="24"/>
                <w:szCs w:val="24"/>
              </w:rPr>
              <w:t>个三联吡啶苯。这个多价配体化合物结合了三联吡啶的金属配位能力和聚集发磷光能力。而且作者发现随着</w:t>
            </w:r>
            <w:bookmarkStart w:id="15" w:name="OLE_LINK21"/>
            <w:bookmarkStart w:id="16" w:name="OLE_LINK22"/>
            <w:r>
              <w:rPr>
                <w:rFonts w:ascii="仿宋" w:eastAsia="仿宋" w:hAnsi="仿宋" w:cs="仿宋" w:hint="eastAsia"/>
                <w:color w:val="000000"/>
                <w:sz w:val="24"/>
                <w:szCs w:val="24"/>
              </w:rPr>
              <w:t>Mg</w:t>
            </w:r>
            <w:r>
              <w:rPr>
                <w:rFonts w:ascii="仿宋" w:eastAsia="仿宋" w:hAnsi="仿宋" w:cs="仿宋" w:hint="eastAsia"/>
                <w:color w:val="000000"/>
                <w:sz w:val="24"/>
                <w:szCs w:val="24"/>
                <w:vertAlign w:val="superscript"/>
              </w:rPr>
              <w:t>2+</w:t>
            </w:r>
            <w:bookmarkEnd w:id="15"/>
            <w:bookmarkEnd w:id="16"/>
            <w:r>
              <w:rPr>
                <w:rFonts w:ascii="仿宋" w:eastAsia="仿宋" w:hAnsi="仿宋" w:cs="仿宋" w:hint="eastAsia"/>
                <w:sz w:val="24"/>
                <w:szCs w:val="24"/>
              </w:rPr>
              <w:t>的加入</w:t>
            </w:r>
            <w:r>
              <w:rPr>
                <w:rFonts w:ascii="仿宋" w:eastAsia="仿宋" w:hAnsi="仿宋" w:cs="仿宋" w:hint="eastAsia"/>
                <w:sz w:val="24"/>
                <w:szCs w:val="24"/>
              </w:rPr>
              <w:t>1</w:t>
            </w:r>
            <w:r>
              <w:rPr>
                <w:rFonts w:ascii="仿宋" w:eastAsia="仿宋" w:hAnsi="仿宋" w:cs="仿宋" w:hint="eastAsia"/>
                <w:sz w:val="24"/>
                <w:szCs w:val="24"/>
              </w:rPr>
              <w:t>在溶液里面发生了从暗到明的变化，而继续往里滴加</w:t>
            </w:r>
            <w:r>
              <w:rPr>
                <w:rFonts w:ascii="仿宋" w:eastAsia="仿宋" w:hAnsi="仿宋" w:cs="仿宋" w:hint="eastAsia"/>
                <w:sz w:val="24"/>
                <w:szCs w:val="24"/>
              </w:rPr>
              <w:t>TBAF</w:t>
            </w:r>
            <w:r>
              <w:rPr>
                <w:rFonts w:ascii="仿宋" w:eastAsia="仿宋" w:hAnsi="仿宋" w:cs="仿宋" w:hint="eastAsia"/>
                <w:sz w:val="24"/>
                <w:szCs w:val="24"/>
              </w:rPr>
              <w:t>其又发生了从明到暗的变化。</w:t>
            </w:r>
          </w:p>
          <w:tbl>
            <w:tblPr>
              <w:tblW w:w="10173" w:type="dxa"/>
              <w:tblLayout w:type="fixed"/>
              <w:tblLook w:val="04A0" w:firstRow="1" w:lastRow="0" w:firstColumn="1" w:lastColumn="0" w:noHBand="0" w:noVBand="1"/>
            </w:tblPr>
            <w:tblGrid>
              <w:gridCol w:w="4928"/>
              <w:gridCol w:w="5245"/>
            </w:tblGrid>
            <w:tr w:rsidR="005112FD">
              <w:tc>
                <w:tcPr>
                  <w:tcW w:w="4928"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1803400" cy="1797050"/>
                        <wp:effectExtent l="0" t="0" r="10160" b="127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a:stretch>
                                  <a:fillRect/>
                                </a:stretch>
                              </pic:blipFill>
                              <pic:spPr>
                                <a:xfrm>
                                  <a:off x="0" y="0"/>
                                  <a:ext cx="1803400" cy="1797050"/>
                                </a:xfrm>
                                <a:prstGeom prst="rect">
                                  <a:avLst/>
                                </a:prstGeom>
                                <a:noFill/>
                                <a:ln w="9525">
                                  <a:noFill/>
                                </a:ln>
                              </pic:spPr>
                            </pic:pic>
                          </a:graphicData>
                        </a:graphic>
                      </wp:inline>
                    </w:drawing>
                  </w:r>
                </w:p>
              </w:tc>
              <w:tc>
                <w:tcPr>
                  <w:tcW w:w="5245" w:type="dxa"/>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1485900" cy="1803400"/>
                        <wp:effectExtent l="0" t="0" r="762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485900" cy="1803400"/>
                                </a:xfrm>
                                <a:prstGeom prst="rect">
                                  <a:avLst/>
                                </a:prstGeom>
                                <a:noFill/>
                                <a:ln w="9525">
                                  <a:noFill/>
                                </a:ln>
                              </pic:spPr>
                            </pic:pic>
                          </a:graphicData>
                        </a:graphic>
                      </wp:inline>
                    </w:drawing>
                  </w:r>
                </w:p>
              </w:tc>
            </w:tr>
            <w:tr w:rsidR="005112FD">
              <w:tc>
                <w:tcPr>
                  <w:tcW w:w="10173" w:type="dxa"/>
                  <w:gridSpan w:val="2"/>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4. </w:t>
                  </w:r>
                  <w:r>
                    <w:rPr>
                      <w:rFonts w:ascii="仿宋" w:eastAsia="仿宋" w:hAnsi="仿宋" w:cs="仿宋" w:hint="eastAsia"/>
                      <w:sz w:val="24"/>
                      <w:szCs w:val="24"/>
                    </w:rPr>
                    <w:t>通过硫原子连接的磷光分子的化学结构</w:t>
                  </w:r>
                </w:p>
              </w:tc>
            </w:tr>
            <w:tr w:rsidR="005112FD">
              <w:tc>
                <w:tcPr>
                  <w:tcW w:w="10173" w:type="dxa"/>
                  <w:gridSpan w:val="2"/>
                  <w:shd w:val="clear" w:color="auto" w:fill="auto"/>
                </w:tcPr>
                <w:p w:rsidR="005112FD" w:rsidRDefault="009B01B3">
                  <w:pPr>
                    <w:jc w:val="center"/>
                    <w:rPr>
                      <w:rFonts w:ascii="仿宋" w:eastAsia="仿宋" w:hAnsi="仿宋" w:cs="仿宋"/>
                      <w:sz w:val="24"/>
                      <w:szCs w:val="24"/>
                    </w:rPr>
                  </w:pPr>
                  <w:r>
                    <w:rPr>
                      <w:rFonts w:ascii="仿宋" w:eastAsia="仿宋" w:hAnsi="仿宋" w:cs="仿宋" w:hint="eastAsia"/>
                      <w:noProof/>
                      <w:sz w:val="24"/>
                      <w:szCs w:val="24"/>
                    </w:rPr>
                    <w:lastRenderedPageBreak/>
                    <w:drawing>
                      <wp:inline distT="0" distB="0" distL="114300" distR="114300">
                        <wp:extent cx="2832100" cy="2165350"/>
                        <wp:effectExtent l="0" t="0" r="254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2832100" cy="2165350"/>
                                </a:xfrm>
                                <a:prstGeom prst="rect">
                                  <a:avLst/>
                                </a:prstGeom>
                                <a:noFill/>
                                <a:ln w="9525">
                                  <a:noFill/>
                                </a:ln>
                              </pic:spPr>
                            </pic:pic>
                          </a:graphicData>
                        </a:graphic>
                      </wp:inline>
                    </w:drawing>
                  </w:r>
                </w:p>
              </w:tc>
            </w:tr>
            <w:tr w:rsidR="005112FD">
              <w:tc>
                <w:tcPr>
                  <w:tcW w:w="10173" w:type="dxa"/>
                  <w:gridSpan w:val="2"/>
                  <w:shd w:val="clear" w:color="auto" w:fill="auto"/>
                </w:tcPr>
                <w:p w:rsidR="005112FD" w:rsidRDefault="005112FD">
                  <w:pPr>
                    <w:jc w:val="center"/>
                    <w:rPr>
                      <w:rFonts w:ascii="仿宋" w:eastAsia="仿宋" w:hAnsi="仿宋" w:cs="仿宋"/>
                      <w:sz w:val="24"/>
                      <w:szCs w:val="24"/>
                    </w:rPr>
                  </w:pPr>
                </w:p>
                <w:p w:rsidR="005112FD" w:rsidRDefault="009B01B3">
                  <w:pPr>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5. </w:t>
                  </w:r>
                  <w:r>
                    <w:rPr>
                      <w:rFonts w:ascii="仿宋" w:eastAsia="仿宋" w:hAnsi="仿宋" w:cs="仿宋" w:hint="eastAsia"/>
                      <w:sz w:val="24"/>
                      <w:szCs w:val="24"/>
                    </w:rPr>
                    <w:t>加入</w:t>
                  </w:r>
                  <w:r>
                    <w:rPr>
                      <w:rFonts w:ascii="仿宋" w:eastAsia="仿宋" w:hAnsi="仿宋" w:cs="仿宋" w:hint="eastAsia"/>
                      <w:color w:val="000000"/>
                      <w:sz w:val="24"/>
                      <w:szCs w:val="24"/>
                    </w:rPr>
                    <w:t>Mg</w:t>
                  </w:r>
                  <w:r>
                    <w:rPr>
                      <w:rFonts w:ascii="仿宋" w:eastAsia="仿宋" w:hAnsi="仿宋" w:cs="仿宋" w:hint="eastAsia"/>
                      <w:color w:val="000000"/>
                      <w:sz w:val="24"/>
                      <w:szCs w:val="24"/>
                      <w:vertAlign w:val="superscript"/>
                    </w:rPr>
                    <w:t>2+</w:t>
                  </w:r>
                  <w:r>
                    <w:rPr>
                      <w:rFonts w:ascii="仿宋" w:eastAsia="仿宋" w:hAnsi="仿宋" w:cs="仿宋" w:hint="eastAsia"/>
                      <w:sz w:val="24"/>
                      <w:szCs w:val="24"/>
                    </w:rPr>
                    <w:t>和</w:t>
                  </w:r>
                  <w:r>
                    <w:rPr>
                      <w:rFonts w:ascii="仿宋" w:eastAsia="仿宋" w:hAnsi="仿宋" w:cs="仿宋" w:hint="eastAsia"/>
                      <w:sz w:val="24"/>
                      <w:szCs w:val="24"/>
                    </w:rPr>
                    <w:t>TBAF</w:t>
                  </w:r>
                  <w:r>
                    <w:rPr>
                      <w:rFonts w:ascii="仿宋" w:eastAsia="仿宋" w:hAnsi="仿宋" w:cs="仿宋" w:hint="eastAsia"/>
                      <w:sz w:val="24"/>
                      <w:szCs w:val="24"/>
                    </w:rPr>
                    <w:t>磷光“开</w:t>
                  </w:r>
                  <w:r>
                    <w:rPr>
                      <w:rFonts w:ascii="仿宋" w:eastAsia="仿宋" w:hAnsi="仿宋" w:cs="仿宋" w:hint="eastAsia"/>
                      <w:sz w:val="24"/>
                      <w:szCs w:val="24"/>
                    </w:rPr>
                    <w:t>-</w:t>
                  </w:r>
                  <w:r>
                    <w:rPr>
                      <w:rFonts w:ascii="仿宋" w:eastAsia="仿宋" w:hAnsi="仿宋" w:cs="仿宋" w:hint="eastAsia"/>
                      <w:sz w:val="24"/>
                      <w:szCs w:val="24"/>
                    </w:rPr>
                    <w:t>关”可逆示意图</w:t>
                  </w:r>
                </w:p>
              </w:tc>
            </w:tr>
          </w:tbl>
          <w:p w:rsidR="005112FD" w:rsidRDefault="005112FD">
            <w:pPr>
              <w:rPr>
                <w:rFonts w:ascii="仿宋" w:eastAsia="仿宋" w:hAnsi="仿宋" w:cs="仿宋"/>
                <w:sz w:val="24"/>
                <w:szCs w:val="24"/>
              </w:rPr>
            </w:pP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过去几年人们发现了聚集诱导发光效应，通过聚集其光发射增强了而不是减弱这个现象主要是由于分子内旋转受限也就是其构象移动性变差所导致的。当分子在稀溶液的时候其潜在的冷光激发态主要通过非辐射途径失活但当聚集或是固态时就会限制分子内旋转，辐射衰减过程就占据主要的。</w:t>
            </w:r>
            <w:r>
              <w:rPr>
                <w:rFonts w:ascii="仿宋" w:eastAsia="仿宋" w:hAnsi="仿宋" w:cs="仿宋" w:hint="eastAsia"/>
                <w:sz w:val="24"/>
                <w:szCs w:val="24"/>
              </w:rPr>
              <w:t>AIE</w:t>
            </w:r>
            <w:r>
              <w:rPr>
                <w:rFonts w:ascii="仿宋" w:eastAsia="仿宋" w:hAnsi="仿宋" w:cs="仿宋" w:hint="eastAsia"/>
                <w:sz w:val="24"/>
                <w:szCs w:val="24"/>
              </w:rPr>
              <w:t>效应对于固体器件的应用是很有意义的但直到现在具有聚集诱导发磷光的有机分子还是很少报导。</w:t>
            </w:r>
          </w:p>
          <w:p w:rsidR="005112FD" w:rsidRDefault="009B01B3">
            <w:pPr>
              <w:ind w:left="440" w:hangingChars="200" w:hanging="440"/>
              <w:rPr>
                <w:color w:val="000000"/>
              </w:rPr>
            </w:pPr>
            <w:r>
              <w:rPr>
                <w:color w:val="000000"/>
              </w:rPr>
              <w:t>[1] Schubert, U. S.; Hofmei</w:t>
            </w:r>
            <w:r>
              <w:rPr>
                <w:color w:val="000000"/>
              </w:rPr>
              <w:t>er, H.; Newkome, G. R. ModernTerpyridine Chemistry; Wiley-VCH: Weinheim, Germany,</w:t>
            </w:r>
            <w:r>
              <w:rPr>
                <w:b/>
                <w:color w:val="000000"/>
              </w:rPr>
              <w:t xml:space="preserve"> 2006</w:t>
            </w:r>
            <w:r>
              <w:rPr>
                <w:color w:val="000000"/>
              </w:rPr>
              <w:t>.</w:t>
            </w:r>
          </w:p>
          <w:p w:rsidR="005112FD" w:rsidRDefault="009B01B3">
            <w:pPr>
              <w:ind w:left="440" w:hangingChars="200" w:hanging="440"/>
              <w:rPr>
                <w:color w:val="000000"/>
              </w:rPr>
            </w:pPr>
            <w:r>
              <w:rPr>
                <w:color w:val="000000"/>
              </w:rPr>
              <w:t xml:space="preserve">[2] Wild, A.; Winter, A.; Schlütter, F.; Schubert, U. S. Chem. Soc.Rev. 2011, 40, 1459. (b) Constable, E. C. Chem. Soc. Rev. </w:t>
            </w:r>
            <w:r>
              <w:rPr>
                <w:b/>
                <w:color w:val="000000"/>
              </w:rPr>
              <w:t>2007</w:t>
            </w:r>
            <w:r>
              <w:rPr>
                <w:color w:val="000000"/>
              </w:rPr>
              <w:t>, 36, 246.</w:t>
            </w:r>
          </w:p>
          <w:p w:rsidR="005112FD" w:rsidRDefault="009B01B3">
            <w:pPr>
              <w:ind w:left="440" w:hangingChars="200" w:hanging="440"/>
              <w:rPr>
                <w:color w:val="000000"/>
              </w:rPr>
            </w:pPr>
            <w:r>
              <w:rPr>
                <w:color w:val="000000"/>
              </w:rPr>
              <w:t xml:space="preserve">[3] Flamigni, L.; </w:t>
            </w:r>
            <w:r>
              <w:rPr>
                <w:color w:val="000000"/>
              </w:rPr>
              <w:t>Collin, J.-P.; Sauvage, J.-P. Acc. Chem. Res.</w:t>
            </w:r>
            <w:r>
              <w:rPr>
                <w:b/>
                <w:color w:val="000000"/>
              </w:rPr>
              <w:t xml:space="preserve"> 2008</w:t>
            </w:r>
            <w:r>
              <w:rPr>
                <w:color w:val="000000"/>
              </w:rPr>
              <w:t>, 41, 857.</w:t>
            </w:r>
          </w:p>
          <w:p w:rsidR="005112FD" w:rsidRDefault="009B01B3">
            <w:pPr>
              <w:ind w:left="440" w:hangingChars="200" w:hanging="440"/>
              <w:rPr>
                <w:color w:val="000000"/>
              </w:rPr>
            </w:pPr>
            <w:r>
              <w:rPr>
                <w:color w:val="000000"/>
              </w:rPr>
              <w:t xml:space="preserve">[4] Machan, C. W.; Adelhart, M.; Sarjeant, A. A.; Stern, C. L.; Sutter, J.; Meyer, K.; Mirkin, C. A. J. Am. Chem. Soc. </w:t>
            </w:r>
            <w:r>
              <w:rPr>
                <w:b/>
                <w:color w:val="000000"/>
              </w:rPr>
              <w:t>2012</w:t>
            </w:r>
            <w:r>
              <w:rPr>
                <w:color w:val="000000"/>
              </w:rPr>
              <w:t>, 134, 16921.</w:t>
            </w:r>
          </w:p>
          <w:p w:rsidR="005112FD" w:rsidRDefault="009B01B3">
            <w:pPr>
              <w:ind w:left="440" w:hangingChars="200" w:hanging="440"/>
              <w:rPr>
                <w:color w:val="000000"/>
              </w:rPr>
            </w:pPr>
            <w:r>
              <w:rPr>
                <w:color w:val="000000"/>
              </w:rPr>
              <w:t>[5] Glasson, C. R. K.; Lindoy, L. F.; Meehan, G. V. Coord.</w:t>
            </w:r>
            <w:r>
              <w:rPr>
                <w:color w:val="000000"/>
              </w:rPr>
              <w:t xml:space="preserve"> Chem.Rev. 2008, 252, 940. (b) Puntoriero, F.; Campagna, S.; Stadler, A. M.; Lehn, J.-M. Coord. Chem. Rev. </w:t>
            </w:r>
            <w:r>
              <w:rPr>
                <w:b/>
                <w:color w:val="000000"/>
              </w:rPr>
              <w:t>2008</w:t>
            </w:r>
            <w:r>
              <w:rPr>
                <w:color w:val="000000"/>
              </w:rPr>
              <w:t>, 252, 2480.</w:t>
            </w:r>
          </w:p>
          <w:p w:rsidR="005112FD" w:rsidRDefault="009B01B3">
            <w:pPr>
              <w:ind w:left="440" w:hangingChars="200" w:hanging="440"/>
              <w:rPr>
                <w:color w:val="000000"/>
              </w:rPr>
            </w:pPr>
            <w:r>
              <w:rPr>
                <w:color w:val="000000"/>
              </w:rPr>
              <w:t xml:space="preserve">[6] Lu, X.; Li, X.; Cao, Y.; Schultz, A.; Wang, J.-L.; Moorefield, C. N.; Wesdemiotis, C.; Cheng, S.Z. D.; Newkome, G. R. Angew. Chem., Int. Ed. </w:t>
            </w:r>
            <w:r>
              <w:rPr>
                <w:b/>
                <w:color w:val="000000"/>
              </w:rPr>
              <w:t>2013</w:t>
            </w:r>
            <w:r>
              <w:rPr>
                <w:color w:val="000000"/>
              </w:rPr>
              <w:t>, 52, 7728.</w:t>
            </w:r>
          </w:p>
          <w:p w:rsidR="005112FD" w:rsidRDefault="009B01B3">
            <w:pPr>
              <w:ind w:left="440" w:hangingChars="200" w:hanging="440"/>
              <w:rPr>
                <w:color w:val="000000"/>
              </w:rPr>
            </w:pPr>
            <w:r>
              <w:rPr>
                <w:color w:val="000000"/>
              </w:rPr>
              <w:t>[7] Hong, Y.; Lam, J. W. Y.; Tang, B. Z. Chem. Soc. Rev.</w:t>
            </w:r>
            <w:r>
              <w:rPr>
                <w:b/>
                <w:color w:val="000000"/>
              </w:rPr>
              <w:t xml:space="preserve"> 2011</w:t>
            </w:r>
            <w:r>
              <w:rPr>
                <w:color w:val="000000"/>
              </w:rPr>
              <w:t>, 40, 5361.</w:t>
            </w:r>
          </w:p>
          <w:p w:rsidR="005112FD" w:rsidRDefault="009B01B3">
            <w:pPr>
              <w:ind w:left="440" w:hangingChars="200" w:hanging="440"/>
            </w:pPr>
            <w:bookmarkStart w:id="17" w:name="OLE_LINK13"/>
            <w:bookmarkStart w:id="18" w:name="OLE_LINK12"/>
            <w:r>
              <w:rPr>
                <w:color w:val="000000"/>
              </w:rPr>
              <w:t xml:space="preserve">[8] </w:t>
            </w:r>
            <w:bookmarkEnd w:id="17"/>
            <w:bookmarkEnd w:id="18"/>
            <w:r>
              <w:rPr>
                <w:color w:val="000000"/>
              </w:rPr>
              <w:t>U. S. Schubert, H.</w:t>
            </w:r>
            <w:r>
              <w:rPr>
                <w:color w:val="000000"/>
              </w:rPr>
              <w:t xml:space="preserve"> Hofmeier and G. R. Newkome, Modern Terpyridine Chemistry, Wiley-VCH, Weinheim, </w:t>
            </w:r>
            <w:r>
              <w:rPr>
                <w:b/>
                <w:color w:val="000000"/>
              </w:rPr>
              <w:t>2006</w:t>
            </w:r>
            <w:r>
              <w:rPr>
                <w:color w:val="000000"/>
              </w:rPr>
              <w:t>.</w:t>
            </w:r>
          </w:p>
          <w:p w:rsidR="005112FD" w:rsidRDefault="009B01B3">
            <w:pPr>
              <w:ind w:left="440" w:hangingChars="200" w:hanging="440"/>
              <w:rPr>
                <w:color w:val="000000"/>
              </w:rPr>
            </w:pPr>
            <w:r>
              <w:rPr>
                <w:color w:val="000000"/>
              </w:rPr>
              <w:t xml:space="preserve">[9] M. W. Cooke and G. S. Hanan, Chem. Soc. Rev., </w:t>
            </w:r>
            <w:r>
              <w:rPr>
                <w:b/>
                <w:color w:val="000000"/>
              </w:rPr>
              <w:t>2007,</w:t>
            </w:r>
            <w:r>
              <w:rPr>
                <w:color w:val="000000"/>
              </w:rPr>
              <w:t xml:space="preserve"> 36, 1466.</w:t>
            </w:r>
          </w:p>
          <w:p w:rsidR="005112FD" w:rsidRDefault="009B01B3">
            <w:pPr>
              <w:ind w:left="440" w:hangingChars="200" w:hanging="440"/>
              <w:rPr>
                <w:color w:val="000000"/>
              </w:rPr>
            </w:pPr>
            <w:r>
              <w:rPr>
                <w:color w:val="000000"/>
              </w:rPr>
              <w:t xml:space="preserve">[10] S.-M. Chen and C.-H. Wang, Bioelectrochem. Bioenerg., </w:t>
            </w:r>
            <w:r>
              <w:rPr>
                <w:b/>
                <w:color w:val="000000"/>
              </w:rPr>
              <w:t>2007</w:t>
            </w:r>
            <w:r>
              <w:rPr>
                <w:color w:val="000000"/>
              </w:rPr>
              <w:t>, 70, 452.</w:t>
            </w:r>
          </w:p>
          <w:p w:rsidR="005112FD" w:rsidRDefault="009B01B3">
            <w:pPr>
              <w:ind w:left="440" w:hangingChars="200" w:hanging="440"/>
              <w:rPr>
                <w:color w:val="000000"/>
              </w:rPr>
            </w:pPr>
            <w:r>
              <w:rPr>
                <w:color w:val="000000"/>
              </w:rPr>
              <w:lastRenderedPageBreak/>
              <w:t xml:space="preserve">[11] W.-L. Wong, K.-H. Huang, </w:t>
            </w:r>
            <w:r>
              <w:rPr>
                <w:color w:val="000000"/>
              </w:rPr>
              <w:t xml:space="preserve">P.-F. Teng, C.-S. Lee and H.-L. Kwong, Chem. Commun., </w:t>
            </w:r>
            <w:r>
              <w:rPr>
                <w:b/>
                <w:color w:val="000000"/>
              </w:rPr>
              <w:t>2004</w:t>
            </w:r>
            <w:r>
              <w:rPr>
                <w:color w:val="000000"/>
              </w:rPr>
              <w:t>, 384.</w:t>
            </w:r>
          </w:p>
          <w:p w:rsidR="005112FD" w:rsidRDefault="009B01B3">
            <w:pPr>
              <w:ind w:left="440" w:hangingChars="200" w:hanging="440"/>
              <w:rPr>
                <w:color w:val="000000"/>
              </w:rPr>
            </w:pPr>
            <w:r>
              <w:rPr>
                <w:color w:val="000000"/>
              </w:rPr>
              <w:t xml:space="preserve">[12] Y.-Q. Li, J. L. Bricks, U. Resch-Genger, M. Spieles and W. Rettig, J. Phys. Chem. A, </w:t>
            </w:r>
            <w:r>
              <w:rPr>
                <w:b/>
                <w:color w:val="000000"/>
              </w:rPr>
              <w:t>2006</w:t>
            </w:r>
            <w:r>
              <w:rPr>
                <w:color w:val="000000"/>
              </w:rPr>
              <w:t>, 110, 10972.</w:t>
            </w:r>
          </w:p>
          <w:p w:rsidR="005112FD" w:rsidRDefault="009B01B3">
            <w:pPr>
              <w:ind w:left="440" w:hangingChars="200" w:hanging="440"/>
              <w:rPr>
                <w:color w:val="000000"/>
              </w:rPr>
            </w:pPr>
            <w:r>
              <w:rPr>
                <w:color w:val="000000"/>
              </w:rPr>
              <w:t>[13] S. Bonnet, J.-P. Collin, M. Koizumi, P. Mobian and J.-P. Sauvage, Adv. Mater.,</w:t>
            </w:r>
            <w:r>
              <w:rPr>
                <w:color w:val="000000"/>
              </w:rPr>
              <w:t xml:space="preserve"> </w:t>
            </w:r>
            <w:r>
              <w:rPr>
                <w:b/>
                <w:color w:val="000000"/>
              </w:rPr>
              <w:t>2006</w:t>
            </w:r>
            <w:r>
              <w:rPr>
                <w:color w:val="000000"/>
              </w:rPr>
              <w:t>, 18, 1239.</w:t>
            </w:r>
          </w:p>
          <w:p w:rsidR="005112FD" w:rsidRDefault="009B01B3">
            <w:pPr>
              <w:ind w:left="440" w:hangingChars="200" w:hanging="440"/>
              <w:rPr>
                <w:color w:val="000000"/>
              </w:rPr>
            </w:pPr>
            <w:r>
              <w:rPr>
                <w:color w:val="000000"/>
              </w:rPr>
              <w:t xml:space="preserve">[14] P. Liu, C.-Y. Zhou, S. Xiang and C.-M. Che, Chem. Commun., </w:t>
            </w:r>
            <w:r>
              <w:rPr>
                <w:b/>
                <w:color w:val="000000"/>
              </w:rPr>
              <w:t>2010</w:t>
            </w:r>
            <w:r>
              <w:rPr>
                <w:color w:val="000000"/>
              </w:rPr>
              <w:t>, 46, 2739.</w:t>
            </w:r>
          </w:p>
          <w:p w:rsidR="005112FD" w:rsidRDefault="009B01B3">
            <w:pPr>
              <w:ind w:left="440" w:hangingChars="200" w:hanging="440"/>
              <w:rPr>
                <w:color w:val="000000"/>
              </w:rPr>
            </w:pPr>
            <w:r>
              <w:rPr>
                <w:color w:val="000000"/>
              </w:rPr>
              <w:t xml:space="preserve">[15] D. Gnanamgari, C.-H. Leung, N. D. Schley, S. T. Hilton and R. H. Crabtree, Org. Biomol. Chem., </w:t>
            </w:r>
            <w:r>
              <w:rPr>
                <w:b/>
                <w:color w:val="000000"/>
              </w:rPr>
              <w:t>2008</w:t>
            </w:r>
            <w:r>
              <w:rPr>
                <w:color w:val="000000"/>
              </w:rPr>
              <w:t>, 6, 4442.</w:t>
            </w:r>
          </w:p>
          <w:p w:rsidR="005112FD" w:rsidRDefault="009B01B3">
            <w:pPr>
              <w:ind w:left="440" w:hangingChars="200" w:hanging="440"/>
              <w:rPr>
                <w:color w:val="000000"/>
              </w:rPr>
            </w:pPr>
            <w:r>
              <w:rPr>
                <w:color w:val="000000"/>
              </w:rPr>
              <w:t>[16] S. Kamijo, Y. Amaoka and M. Inoue, Chem</w:t>
            </w:r>
            <w:r>
              <w:rPr>
                <w:color w:val="000000"/>
              </w:rPr>
              <w:t>.–Asian J.,</w:t>
            </w:r>
            <w:r>
              <w:rPr>
                <w:b/>
                <w:color w:val="000000"/>
              </w:rPr>
              <w:t xml:space="preserve"> 2010,</w:t>
            </w:r>
            <w:r>
              <w:rPr>
                <w:color w:val="000000"/>
              </w:rPr>
              <w:t xml:space="preserve"> 5, 486.</w:t>
            </w:r>
          </w:p>
          <w:p w:rsidR="005112FD" w:rsidRDefault="009B01B3">
            <w:pPr>
              <w:ind w:left="440" w:hangingChars="200" w:hanging="440"/>
              <w:rPr>
                <w:color w:val="000000"/>
              </w:rPr>
            </w:pPr>
            <w:r>
              <w:rPr>
                <w:color w:val="000000"/>
              </w:rPr>
              <w:t xml:space="preserve">[17] C.-T. Yeung, W.-S. Lee, C.-S. Tsang, S.-M. Yiu, W.-T. Wong, W.-Y. Wong and H.-L. Kwong, Polyhedron, </w:t>
            </w:r>
            <w:r>
              <w:rPr>
                <w:b/>
                <w:color w:val="000000"/>
              </w:rPr>
              <w:t>2010</w:t>
            </w:r>
            <w:r>
              <w:rPr>
                <w:color w:val="000000"/>
              </w:rPr>
              <w:t>, 29, 1497.</w:t>
            </w:r>
          </w:p>
          <w:p w:rsidR="005112FD" w:rsidRDefault="009B01B3">
            <w:pPr>
              <w:ind w:left="440" w:hangingChars="200" w:hanging="440"/>
              <w:rPr>
                <w:color w:val="000000"/>
              </w:rPr>
            </w:pPr>
            <w:r>
              <w:rPr>
                <w:color w:val="000000"/>
              </w:rPr>
              <w:t xml:space="preserve">[18] C.-T. Yeung, P.-F. Teng, H.-L. Yeung, W.-T. Wong and H.-L. Kwong, Org. Biomol. Chem., </w:t>
            </w:r>
            <w:r>
              <w:rPr>
                <w:b/>
                <w:color w:val="000000"/>
              </w:rPr>
              <w:t>2007</w:t>
            </w:r>
            <w:r>
              <w:rPr>
                <w:color w:val="000000"/>
              </w:rPr>
              <w:t>, 5, 859.</w:t>
            </w:r>
          </w:p>
          <w:p w:rsidR="005112FD" w:rsidRDefault="009B01B3">
            <w:pPr>
              <w:ind w:left="440" w:hangingChars="200" w:hanging="440"/>
              <w:rPr>
                <w:color w:val="000000"/>
              </w:rPr>
            </w:pPr>
            <w:r>
              <w:rPr>
                <w:color w:val="000000"/>
              </w:rPr>
              <w:t>[19]</w:t>
            </w:r>
            <w:r>
              <w:rPr>
                <w:color w:val="000000"/>
              </w:rPr>
              <w:t xml:space="preserve"> P. Liu, E. L.-M. Wong, A. W.-H. Yuen and C.-M. Che, Org. Lett., </w:t>
            </w:r>
            <w:r>
              <w:rPr>
                <w:b/>
                <w:color w:val="000000"/>
              </w:rPr>
              <w:t>2008</w:t>
            </w:r>
            <w:r>
              <w:rPr>
                <w:color w:val="000000"/>
              </w:rPr>
              <w:t>, 10, 3275.</w:t>
            </w:r>
          </w:p>
          <w:p w:rsidR="005112FD" w:rsidRDefault="009B01B3">
            <w:pPr>
              <w:ind w:left="440" w:hangingChars="200" w:hanging="440"/>
              <w:rPr>
                <w:color w:val="000000"/>
              </w:rPr>
            </w:pPr>
            <w:r>
              <w:rPr>
                <w:color w:val="000000"/>
              </w:rPr>
              <w:t xml:space="preserve">[20] T. Suzuka, K. Ooshiro and K. Kina, Heterocycles, </w:t>
            </w:r>
            <w:r>
              <w:rPr>
                <w:b/>
                <w:color w:val="000000"/>
              </w:rPr>
              <w:t>2010</w:t>
            </w:r>
            <w:r>
              <w:rPr>
                <w:color w:val="000000"/>
              </w:rPr>
              <w:t>, 81, 601</w:t>
            </w:r>
            <w:r>
              <w:rPr>
                <w:rFonts w:hint="eastAsia"/>
                <w:color w:val="000000"/>
              </w:rPr>
              <w:t>.</w:t>
            </w:r>
          </w:p>
          <w:p w:rsidR="005112FD" w:rsidRDefault="009B01B3">
            <w:pPr>
              <w:ind w:left="440" w:hangingChars="200" w:hanging="440"/>
            </w:pPr>
            <w:r>
              <w:rPr>
                <w:color w:val="000000"/>
              </w:rPr>
              <w:t xml:space="preserve">[21] </w:t>
            </w:r>
            <w:r>
              <w:rPr>
                <w:rFonts w:ascii="宋体" w:hAnsi="宋体"/>
                <w:color w:val="000000"/>
              </w:rPr>
              <w:t>吴世康</w:t>
            </w:r>
            <w:r>
              <w:rPr>
                <w:rFonts w:ascii="宋体" w:hAnsi="宋体"/>
                <w:color w:val="000000"/>
              </w:rPr>
              <w:t>.</w:t>
            </w:r>
            <w:r>
              <w:rPr>
                <w:rFonts w:ascii="宋体" w:hAnsi="宋体"/>
                <w:color w:val="000000"/>
              </w:rPr>
              <w:t>具有荧光发射能力有机化合物的光物理和光化学问题研究</w:t>
            </w:r>
            <w:r>
              <w:rPr>
                <w:rFonts w:ascii="宋体" w:hAnsi="宋体"/>
                <w:color w:val="000000"/>
              </w:rPr>
              <w:t xml:space="preserve">[J]. </w:t>
            </w:r>
            <w:r>
              <w:rPr>
                <w:rFonts w:ascii="宋体" w:hAnsi="宋体"/>
                <w:color w:val="000000"/>
              </w:rPr>
              <w:t>化学进展</w:t>
            </w:r>
            <w:r>
              <w:rPr>
                <w:rFonts w:ascii="宋体" w:hAnsi="宋体"/>
                <w:color w:val="000000"/>
              </w:rPr>
              <w:t>.</w:t>
            </w:r>
            <w:r>
              <w:rPr>
                <w:color w:val="000000"/>
              </w:rPr>
              <w:t xml:space="preserve"> 2005, 17: 17-27.</w:t>
            </w:r>
          </w:p>
          <w:p w:rsidR="005112FD" w:rsidRDefault="009B01B3">
            <w:pPr>
              <w:ind w:left="440" w:hangingChars="200" w:hanging="440"/>
              <w:rPr>
                <w:color w:val="000000"/>
              </w:rPr>
            </w:pPr>
            <w:r>
              <w:rPr>
                <w:color w:val="000000"/>
              </w:rPr>
              <w:t>[22] Kato T.; Mizoshita N.; Kishimoto K.; Fu</w:t>
            </w:r>
            <w:r>
              <w:rPr>
                <w:color w:val="000000"/>
              </w:rPr>
              <w:t>nctional Liquid-Crystalline Assemb-lies: Self-Organized Soft Materials [M]. Angew. Chem. Int. Edit. 2006, 45: 38-68.</w:t>
            </w:r>
          </w:p>
          <w:p w:rsidR="005112FD" w:rsidRDefault="009B01B3">
            <w:pPr>
              <w:ind w:left="440" w:hangingChars="200" w:hanging="440"/>
              <w:rPr>
                <w:color w:val="000000"/>
              </w:rPr>
            </w:pPr>
            <w:r>
              <w:rPr>
                <w:color w:val="000000"/>
              </w:rPr>
              <w:t>[23] Hong Y.; Lam J.; Tang B. Z. Aggregation-induced emission: phenomenon,mechanism and applications[J]. Chem. Commun. 2009, 4332-4353.</w:t>
            </w:r>
          </w:p>
          <w:p w:rsidR="005112FD" w:rsidRDefault="005112FD">
            <w:pPr>
              <w:ind w:left="560" w:hangingChars="200" w:hanging="560"/>
              <w:rPr>
                <w:rFonts w:eastAsia="楷体_GB2312"/>
                <w:sz w:val="28"/>
                <w:szCs w:val="28"/>
              </w:rPr>
            </w:pPr>
          </w:p>
        </w:tc>
      </w:tr>
      <w:tr w:rsidR="005112FD">
        <w:trPr>
          <w:trHeight w:val="4585"/>
        </w:trPr>
        <w:tc>
          <w:tcPr>
            <w:tcW w:w="9366" w:type="dxa"/>
            <w:gridSpan w:val="8"/>
          </w:tcPr>
          <w:p w:rsidR="005112FD" w:rsidRDefault="009B01B3">
            <w:pPr>
              <w:rPr>
                <w:rFonts w:eastAsia="楷体_GB2312"/>
                <w:sz w:val="28"/>
                <w:szCs w:val="28"/>
              </w:rPr>
            </w:pPr>
            <w:r>
              <w:rPr>
                <w:rFonts w:eastAsia="楷体_GB2312" w:hint="eastAsia"/>
                <w:sz w:val="28"/>
                <w:szCs w:val="28"/>
              </w:rPr>
              <w:lastRenderedPageBreak/>
              <w:t>本项目学生有关的研究积累和已取得的成绩</w:t>
            </w:r>
          </w:p>
          <w:p w:rsidR="005112FD" w:rsidRDefault="009B01B3">
            <w:pPr>
              <w:spacing w:after="240"/>
              <w:ind w:firstLineChars="200" w:firstLine="480"/>
              <w:rPr>
                <w:rFonts w:ascii="仿宋" w:eastAsia="仿宋" w:hAnsi="仿宋" w:cs="仿宋"/>
                <w:sz w:val="24"/>
                <w:szCs w:val="24"/>
              </w:rPr>
            </w:pPr>
            <w:r>
              <w:rPr>
                <w:rFonts w:ascii="仿宋" w:eastAsia="仿宋" w:hAnsi="仿宋" w:cs="仿宋" w:hint="eastAsia"/>
                <w:sz w:val="24"/>
                <w:szCs w:val="24"/>
              </w:rPr>
              <w:t>主持人在寒假阶段主动申请留校，通过查阅资料以及询问老师对该课题做了前期调研工作，发现该课题确实非常适合现阶段的我们去探讨和研究，</w:t>
            </w:r>
            <w:r>
              <w:rPr>
                <w:rFonts w:ascii="仿宋" w:eastAsia="仿宋" w:hAnsi="仿宋" w:cs="仿宋" w:hint="eastAsia"/>
                <w:sz w:val="24"/>
                <w:szCs w:val="24"/>
              </w:rPr>
              <w:t>主持人</w:t>
            </w:r>
            <w:r>
              <w:rPr>
                <w:rFonts w:ascii="仿宋" w:eastAsia="仿宋" w:hAnsi="仿宋" w:cs="仿宋" w:hint="eastAsia"/>
                <w:sz w:val="24"/>
                <w:szCs w:val="24"/>
              </w:rPr>
              <w:t>通过各种渠道取得谢鹤楼老师的联系方式，经过一番交谈，已取得他们的同意，同意让我们小组在谢老师的指导下来完成此次创新实验。并且申请人在寒假阶段就已经进入谢老师实验室开始进行一些准备工作。</w:t>
            </w:r>
          </w:p>
          <w:p w:rsidR="005112FD" w:rsidRDefault="009B01B3">
            <w:pPr>
              <w:spacing w:after="240"/>
              <w:ind w:firstLineChars="200" w:firstLine="480"/>
              <w:rPr>
                <w:rFonts w:ascii="仿宋" w:eastAsia="仿宋" w:hAnsi="仿宋" w:cs="仿宋"/>
                <w:sz w:val="24"/>
                <w:szCs w:val="24"/>
              </w:rPr>
            </w:pPr>
            <w:r>
              <w:rPr>
                <w:rFonts w:ascii="仿宋" w:eastAsia="仿宋" w:hAnsi="仿宋" w:cs="仿宋" w:hint="eastAsia"/>
                <w:sz w:val="24"/>
                <w:szCs w:val="24"/>
              </w:rPr>
              <w:t>主持人及其小组成员已经进入实验室进行部分准备工作了，已经掌握了良好的相关基本的实验操作，具备了成为一名实验人员的基本素质。小组成员专业成绩属于上游水平，专业基础好，踏实能干，认真学习，有较强的工作能力。英语基础也较好，具有初步阅读国外文献的能力。</w:t>
            </w:r>
          </w:p>
          <w:p w:rsidR="005112FD" w:rsidRDefault="005112FD">
            <w:pPr>
              <w:spacing w:after="240"/>
              <w:ind w:firstLineChars="200" w:firstLine="480"/>
              <w:rPr>
                <w:rFonts w:ascii="仿宋" w:eastAsia="仿宋" w:hAnsi="仿宋" w:cs="仿宋"/>
                <w:sz w:val="24"/>
                <w:szCs w:val="24"/>
              </w:rPr>
            </w:pPr>
          </w:p>
          <w:p w:rsidR="005112FD" w:rsidRDefault="005112FD">
            <w:pPr>
              <w:spacing w:after="240"/>
              <w:ind w:firstLineChars="200" w:firstLine="480"/>
              <w:rPr>
                <w:rFonts w:ascii="仿宋" w:eastAsia="仿宋" w:hAnsi="仿宋" w:cs="仿宋"/>
                <w:sz w:val="24"/>
                <w:szCs w:val="24"/>
              </w:rPr>
            </w:pPr>
          </w:p>
        </w:tc>
      </w:tr>
      <w:tr w:rsidR="005112FD">
        <w:trPr>
          <w:trHeight w:val="90"/>
        </w:trPr>
        <w:tc>
          <w:tcPr>
            <w:tcW w:w="9366" w:type="dxa"/>
            <w:gridSpan w:val="8"/>
          </w:tcPr>
          <w:p w:rsidR="005112FD" w:rsidRDefault="009B01B3">
            <w:pPr>
              <w:rPr>
                <w:rFonts w:eastAsia="楷体_GB2312"/>
                <w:sz w:val="28"/>
                <w:szCs w:val="28"/>
              </w:rPr>
            </w:pPr>
            <w:r>
              <w:rPr>
                <w:rFonts w:eastAsia="楷体_GB2312" w:hint="eastAsia"/>
                <w:sz w:val="28"/>
                <w:szCs w:val="28"/>
              </w:rPr>
              <w:lastRenderedPageBreak/>
              <w:t>项目的创新点和特色</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）合成的分子由于具有液晶性，且可以与不同的金属及</w:t>
            </w:r>
            <w:r>
              <w:rPr>
                <w:rFonts w:ascii="仿宋" w:eastAsia="仿宋" w:hAnsi="仿宋" w:cs="仿宋" w:hint="eastAsia"/>
                <w:sz w:val="24"/>
                <w:szCs w:val="24"/>
              </w:rPr>
              <w:t>稀土离子形成不同的配位化合物，因此在有机发光二极管，显示器，磁，等方面将具有更广泛的应用。</w:t>
            </w:r>
          </w:p>
          <w:p w:rsidR="005112FD" w:rsidRDefault="009B01B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）由于其在与金属配位以后独特的光学变化从荧光</w:t>
            </w:r>
            <w:r>
              <w:rPr>
                <w:rFonts w:ascii="仿宋" w:eastAsia="仿宋" w:hAnsi="仿宋" w:cs="仿宋" w:hint="eastAsia"/>
                <w:sz w:val="24"/>
                <w:szCs w:val="24"/>
              </w:rPr>
              <w:t>-</w:t>
            </w:r>
            <w:r>
              <w:rPr>
                <w:rFonts w:ascii="仿宋" w:eastAsia="仿宋" w:hAnsi="仿宋" w:cs="仿宋" w:hint="eastAsia"/>
                <w:sz w:val="24"/>
                <w:szCs w:val="24"/>
              </w:rPr>
              <w:t>磷光的转变，使得其可以在感应器，生物探针方面具有更加独特的应用。</w:t>
            </w:r>
          </w:p>
          <w:p w:rsidR="005112FD" w:rsidRDefault="005112FD">
            <w:pPr>
              <w:spacing w:line="360" w:lineRule="auto"/>
              <w:ind w:firstLineChars="200" w:firstLine="480"/>
              <w:rPr>
                <w:rFonts w:ascii="仿宋" w:eastAsia="仿宋" w:hAnsi="仿宋" w:cs="仿宋"/>
                <w:sz w:val="24"/>
                <w:szCs w:val="24"/>
              </w:rPr>
            </w:pPr>
          </w:p>
          <w:p w:rsidR="005112FD" w:rsidRDefault="005112FD">
            <w:pPr>
              <w:spacing w:line="360" w:lineRule="auto"/>
              <w:ind w:firstLineChars="200" w:firstLine="480"/>
              <w:rPr>
                <w:rFonts w:ascii="仿宋" w:eastAsia="仿宋" w:hAnsi="仿宋" w:cs="仿宋"/>
                <w:sz w:val="24"/>
                <w:szCs w:val="24"/>
              </w:rPr>
            </w:pPr>
          </w:p>
          <w:p w:rsidR="005112FD" w:rsidRDefault="005112FD">
            <w:pPr>
              <w:spacing w:line="360" w:lineRule="auto"/>
              <w:ind w:firstLineChars="200" w:firstLine="480"/>
              <w:rPr>
                <w:rFonts w:ascii="仿宋" w:eastAsia="仿宋" w:hAnsi="仿宋" w:cs="仿宋"/>
                <w:sz w:val="24"/>
                <w:szCs w:val="24"/>
              </w:rPr>
            </w:pPr>
          </w:p>
        </w:tc>
      </w:tr>
      <w:tr w:rsidR="005112FD">
        <w:trPr>
          <w:trHeight w:val="2796"/>
        </w:trPr>
        <w:tc>
          <w:tcPr>
            <w:tcW w:w="9366" w:type="dxa"/>
            <w:gridSpan w:val="8"/>
          </w:tcPr>
          <w:p w:rsidR="005112FD" w:rsidRDefault="009B01B3">
            <w:pPr>
              <w:rPr>
                <w:rFonts w:eastAsia="楷体_GB2312"/>
                <w:sz w:val="28"/>
                <w:szCs w:val="28"/>
              </w:rPr>
            </w:pPr>
            <w:r>
              <w:rPr>
                <w:rFonts w:eastAsia="楷体_GB2312" w:hint="eastAsia"/>
                <w:sz w:val="28"/>
                <w:szCs w:val="28"/>
              </w:rPr>
              <w:t>项目的技术路线及预期成果</w:t>
            </w: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1</w:t>
            </w:r>
            <w:r>
              <w:rPr>
                <w:rFonts w:ascii="仿宋" w:eastAsia="仿宋" w:hAnsi="仿宋" w:cs="仿宋" w:hint="eastAsia"/>
                <w:b/>
                <w:sz w:val="24"/>
                <w:szCs w:val="24"/>
              </w:rPr>
              <w:t>、拟采取的研究方法及可行性分析</w:t>
            </w:r>
          </w:p>
          <w:p w:rsidR="005112FD" w:rsidRDefault="009B01B3">
            <w:pPr>
              <w:spacing w:line="360" w:lineRule="exact"/>
              <w:rPr>
                <w:rFonts w:ascii="仿宋" w:eastAsia="仿宋" w:hAnsi="仿宋" w:cs="仿宋"/>
                <w:b/>
                <w:bCs/>
                <w:sz w:val="24"/>
                <w:szCs w:val="24"/>
              </w:rPr>
            </w:pPr>
            <w:r>
              <w:rPr>
                <w:rFonts w:ascii="仿宋" w:eastAsia="仿宋" w:hAnsi="仿宋" w:cs="仿宋" w:hint="eastAsia"/>
                <w:b/>
                <w:bCs/>
                <w:sz w:val="24"/>
                <w:szCs w:val="24"/>
              </w:rPr>
              <w:t>（</w:t>
            </w:r>
            <w:r>
              <w:rPr>
                <w:rFonts w:ascii="仿宋" w:eastAsia="仿宋" w:hAnsi="仿宋" w:cs="仿宋" w:hint="eastAsia"/>
                <w:b/>
                <w:bCs/>
                <w:sz w:val="24"/>
                <w:szCs w:val="24"/>
              </w:rPr>
              <w:t>1</w:t>
            </w:r>
            <w:r>
              <w:rPr>
                <w:rFonts w:ascii="仿宋" w:eastAsia="仿宋" w:hAnsi="仿宋" w:cs="仿宋" w:hint="eastAsia"/>
                <w:b/>
                <w:bCs/>
                <w:sz w:val="24"/>
                <w:szCs w:val="24"/>
              </w:rPr>
              <w:t>）研究方法</w:t>
            </w:r>
          </w:p>
          <w:p w:rsidR="005112FD" w:rsidRDefault="009B01B3">
            <w:pPr>
              <w:spacing w:line="360" w:lineRule="exact"/>
              <w:rPr>
                <w:rFonts w:ascii="仿宋" w:eastAsia="仿宋" w:hAnsi="仿宋" w:cs="仿宋"/>
                <w:b/>
                <w:bCs/>
                <w:sz w:val="24"/>
                <w:szCs w:val="24"/>
              </w:rPr>
            </w:pPr>
            <w:r>
              <w:rPr>
                <w:rFonts w:ascii="仿宋" w:eastAsia="仿宋" w:hAnsi="仿宋" w:cs="仿宋" w:hint="eastAsia"/>
                <w:sz w:val="24"/>
                <w:szCs w:val="24"/>
              </w:rPr>
              <w:t>在本项目中试图以四苯乙烯为基础，通过简单地合成在其周围接上三联吡啶。</w:t>
            </w:r>
          </w:p>
          <w:p w:rsidR="005112FD" w:rsidRDefault="009B01B3">
            <w:pPr>
              <w:numPr>
                <w:ilvl w:val="0"/>
                <w:numId w:val="1"/>
              </w:numPr>
              <w:spacing w:line="360" w:lineRule="exact"/>
              <w:rPr>
                <w:rFonts w:ascii="仿宋" w:eastAsia="仿宋" w:hAnsi="仿宋" w:cs="仿宋"/>
                <w:b/>
                <w:bCs/>
                <w:sz w:val="24"/>
                <w:szCs w:val="24"/>
              </w:rPr>
            </w:pPr>
            <w:r>
              <w:rPr>
                <w:rFonts w:ascii="仿宋" w:eastAsia="仿宋" w:hAnsi="仿宋" w:cs="仿宋" w:hint="eastAsia"/>
                <w:b/>
                <w:bCs/>
                <w:sz w:val="24"/>
                <w:szCs w:val="24"/>
              </w:rPr>
              <w:t>技术路线</w:t>
            </w:r>
          </w:p>
          <w:p w:rsidR="005112FD" w:rsidRDefault="009B01B3">
            <w:pPr>
              <w:spacing w:before="120"/>
              <w:ind w:right="57"/>
              <w:rPr>
                <w:rFonts w:ascii="仿宋" w:eastAsia="仿宋" w:hAnsi="仿宋" w:cs="仿宋"/>
                <w:b/>
                <w:bCs/>
                <w:sz w:val="24"/>
                <w:szCs w:val="24"/>
              </w:rPr>
            </w:pPr>
            <w:r>
              <w:rPr>
                <w:rFonts w:ascii="Calibri" w:eastAsia="黑体" w:hAnsi="Calibri"/>
                <w:b/>
                <w:bCs/>
                <w:noProof/>
                <w:sz w:val="18"/>
                <w:szCs w:val="18"/>
              </w:rPr>
              <w:drawing>
                <wp:inline distT="0" distB="0" distL="114300" distR="114300">
                  <wp:extent cx="5631815" cy="2165350"/>
                  <wp:effectExtent l="0" t="0" r="6985" b="13970"/>
                  <wp:docPr id="7" name="图片 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12"/>
                          <pic:cNvPicPr>
                            <a:picLocks noChangeAspect="1"/>
                          </pic:cNvPicPr>
                        </pic:nvPicPr>
                        <pic:blipFill>
                          <a:blip r:embed="rId16"/>
                          <a:stretch>
                            <a:fillRect/>
                          </a:stretch>
                        </pic:blipFill>
                        <pic:spPr>
                          <a:xfrm>
                            <a:off x="0" y="0"/>
                            <a:ext cx="5631815" cy="2165350"/>
                          </a:xfrm>
                          <a:prstGeom prst="rect">
                            <a:avLst/>
                          </a:prstGeom>
                          <a:noFill/>
                          <a:ln w="9525">
                            <a:noFill/>
                          </a:ln>
                        </pic:spPr>
                      </pic:pic>
                    </a:graphicData>
                  </a:graphic>
                </wp:inline>
              </w:drawing>
            </w:r>
          </w:p>
          <w:p w:rsidR="005112FD" w:rsidRDefault="009B01B3">
            <w:pPr>
              <w:spacing w:before="120"/>
              <w:ind w:right="57"/>
              <w:jc w:val="center"/>
              <w:rPr>
                <w:rFonts w:ascii="仿宋" w:eastAsia="仿宋" w:hAnsi="仿宋" w:cs="仿宋"/>
                <w:b/>
                <w:bCs/>
                <w:sz w:val="24"/>
                <w:szCs w:val="24"/>
              </w:rPr>
            </w:pPr>
            <w:r>
              <w:rPr>
                <w:rFonts w:ascii="楷体" w:eastAsia="楷体" w:hAnsi="楷体" w:hint="eastAsia"/>
                <w:sz w:val="24"/>
                <w:szCs w:val="24"/>
              </w:rPr>
              <w:t>图</w:t>
            </w:r>
            <w:r>
              <w:rPr>
                <w:rFonts w:eastAsia="楷体"/>
                <w:sz w:val="24"/>
                <w:szCs w:val="24"/>
              </w:rPr>
              <w:t>5</w:t>
            </w:r>
            <w:r>
              <w:rPr>
                <w:rFonts w:ascii="楷体" w:eastAsia="楷体" w:hAnsi="楷体" w:hint="eastAsia"/>
                <w:sz w:val="24"/>
                <w:szCs w:val="24"/>
              </w:rPr>
              <w:t>.</w:t>
            </w:r>
            <w:r>
              <w:rPr>
                <w:rFonts w:ascii="楷体" w:eastAsia="楷体" w:hAnsi="楷体" w:hint="eastAsia"/>
                <w:sz w:val="24"/>
                <w:szCs w:val="24"/>
              </w:rPr>
              <w:t>预研中</w:t>
            </w:r>
            <w:r>
              <w:rPr>
                <w:rFonts w:ascii="楷体" w:eastAsia="楷体" w:hAnsi="楷体"/>
                <w:sz w:val="24"/>
                <w:szCs w:val="24"/>
              </w:rPr>
              <w:t>所设计的冷光分子示意图</w:t>
            </w:r>
          </w:p>
          <w:p w:rsidR="005112FD" w:rsidRDefault="009B01B3">
            <w:pPr>
              <w:spacing w:before="120"/>
              <w:ind w:right="57"/>
              <w:rPr>
                <w:rFonts w:ascii="仿宋" w:eastAsia="仿宋" w:hAnsi="仿宋" w:cs="仿宋"/>
                <w:b/>
                <w:bCs/>
                <w:sz w:val="24"/>
                <w:szCs w:val="24"/>
              </w:rPr>
            </w:pPr>
            <w:r>
              <w:rPr>
                <w:rFonts w:ascii="仿宋" w:eastAsia="仿宋" w:hAnsi="仿宋" w:cs="仿宋" w:hint="eastAsia"/>
                <w:b/>
                <w:bCs/>
                <w:sz w:val="24"/>
                <w:szCs w:val="24"/>
              </w:rPr>
              <w:t>（</w:t>
            </w:r>
            <w:r>
              <w:rPr>
                <w:rFonts w:ascii="仿宋" w:eastAsia="仿宋" w:hAnsi="仿宋" w:cs="仿宋" w:hint="eastAsia"/>
                <w:b/>
                <w:bCs/>
                <w:sz w:val="24"/>
                <w:szCs w:val="24"/>
              </w:rPr>
              <w:t>3</w:t>
            </w:r>
            <w:r>
              <w:rPr>
                <w:rFonts w:ascii="仿宋" w:eastAsia="仿宋" w:hAnsi="仿宋" w:cs="仿宋" w:hint="eastAsia"/>
                <w:b/>
                <w:bCs/>
                <w:sz w:val="24"/>
                <w:szCs w:val="24"/>
              </w:rPr>
              <w:t>）实验方案的可行性分析</w:t>
            </w:r>
          </w:p>
          <w:p w:rsidR="005112FD" w:rsidRDefault="009B01B3">
            <w:pPr>
              <w:spacing w:line="312" w:lineRule="auto"/>
              <w:ind w:left="284" w:hanging="284"/>
              <w:rPr>
                <w:rFonts w:ascii="仿宋" w:eastAsia="仿宋" w:hAnsi="仿宋" w:cs="仿宋"/>
                <w:b/>
                <w:bCs/>
                <w:sz w:val="24"/>
                <w:szCs w:val="24"/>
              </w:rPr>
            </w:pPr>
            <w:r>
              <w:rPr>
                <w:rFonts w:ascii="仿宋" w:eastAsia="仿宋" w:hAnsi="仿宋" w:cs="仿宋" w:hint="eastAsia"/>
                <w:b/>
                <w:bCs/>
                <w:sz w:val="24"/>
                <w:szCs w:val="24"/>
              </w:rPr>
              <w:t xml:space="preserve">(1) </w:t>
            </w:r>
            <w:r>
              <w:rPr>
                <w:rFonts w:ascii="仿宋" w:eastAsia="仿宋" w:hAnsi="仿宋" w:cs="仿宋" w:hint="eastAsia"/>
                <w:b/>
                <w:bCs/>
                <w:sz w:val="24"/>
                <w:szCs w:val="24"/>
              </w:rPr>
              <w:t>研究方案较为合理</w:t>
            </w:r>
          </w:p>
          <w:p w:rsidR="005112FD" w:rsidRDefault="009B01B3">
            <w:pPr>
              <w:spacing w:line="360" w:lineRule="exact"/>
              <w:rPr>
                <w:rFonts w:ascii="仿宋" w:eastAsia="仿宋" w:hAnsi="仿宋" w:cs="仿宋"/>
                <w:sz w:val="24"/>
                <w:szCs w:val="24"/>
              </w:rPr>
            </w:pPr>
            <w:r>
              <w:rPr>
                <w:rFonts w:ascii="仿宋" w:eastAsia="仿宋" w:hAnsi="仿宋" w:cs="仿宋" w:hint="eastAsia"/>
                <w:sz w:val="24"/>
                <w:szCs w:val="24"/>
              </w:rPr>
              <w:t>具有</w:t>
            </w:r>
            <w:r>
              <w:rPr>
                <w:rFonts w:ascii="仿宋" w:eastAsia="仿宋" w:hAnsi="仿宋" w:cs="仿宋" w:hint="eastAsia"/>
                <w:sz w:val="24"/>
                <w:szCs w:val="24"/>
              </w:rPr>
              <w:t>AIE</w:t>
            </w:r>
            <w:r>
              <w:rPr>
                <w:rFonts w:ascii="仿宋" w:eastAsia="仿宋" w:hAnsi="仿宋" w:cs="仿宋" w:hint="eastAsia"/>
                <w:sz w:val="24"/>
                <w:szCs w:val="24"/>
              </w:rPr>
              <w:t>效应的分子自从被发现以来得到了科学家的广泛研究，积累了大量的成功经验。本项目通过将</w:t>
            </w:r>
            <w:r>
              <w:rPr>
                <w:rFonts w:ascii="仿宋" w:eastAsia="仿宋" w:hAnsi="仿宋" w:cs="仿宋" w:hint="eastAsia"/>
                <w:sz w:val="24"/>
                <w:szCs w:val="24"/>
              </w:rPr>
              <w:t xml:space="preserve">TPE </w:t>
            </w:r>
            <w:r>
              <w:rPr>
                <w:rFonts w:ascii="仿宋" w:eastAsia="仿宋" w:hAnsi="仿宋" w:cs="仿宋" w:hint="eastAsia"/>
                <w:sz w:val="24"/>
                <w:szCs w:val="24"/>
              </w:rPr>
              <w:t>与</w:t>
            </w:r>
            <w:r>
              <w:rPr>
                <w:rFonts w:ascii="仿宋" w:eastAsia="仿宋" w:hAnsi="仿宋" w:cs="仿宋" w:hint="eastAsia"/>
                <w:sz w:val="24"/>
                <w:szCs w:val="24"/>
              </w:rPr>
              <w:t>TPY</w:t>
            </w:r>
            <w:r>
              <w:rPr>
                <w:rFonts w:ascii="仿宋" w:eastAsia="仿宋" w:hAnsi="仿宋" w:cs="仿宋" w:hint="eastAsia"/>
                <w:sz w:val="24"/>
                <w:szCs w:val="24"/>
              </w:rPr>
              <w:t>通过</w:t>
            </w:r>
            <w:r>
              <w:rPr>
                <w:rFonts w:ascii="仿宋" w:eastAsia="仿宋" w:hAnsi="仿宋" w:cs="仿宋" w:hint="eastAsia"/>
                <w:sz w:val="24"/>
                <w:szCs w:val="24"/>
              </w:rPr>
              <w:t>S</w:t>
            </w:r>
            <w:r>
              <w:rPr>
                <w:rFonts w:ascii="仿宋" w:eastAsia="仿宋" w:hAnsi="仿宋" w:cs="仿宋" w:hint="eastAsia"/>
                <w:sz w:val="24"/>
                <w:szCs w:val="24"/>
              </w:rPr>
              <w:t>原子结合起来制备了一种具有发磷光性质的分子。</w:t>
            </w:r>
          </w:p>
          <w:p w:rsidR="005112FD" w:rsidRDefault="009B01B3">
            <w:pPr>
              <w:spacing w:line="312" w:lineRule="auto"/>
              <w:ind w:left="284" w:hanging="284"/>
              <w:rPr>
                <w:rFonts w:ascii="仿宋" w:eastAsia="仿宋" w:hAnsi="仿宋" w:cs="仿宋"/>
                <w:b/>
                <w:bCs/>
                <w:sz w:val="24"/>
                <w:szCs w:val="24"/>
              </w:rPr>
            </w:pPr>
            <w:r>
              <w:rPr>
                <w:rFonts w:ascii="仿宋" w:eastAsia="仿宋" w:hAnsi="仿宋" w:cs="仿宋" w:hint="eastAsia"/>
                <w:b/>
                <w:bCs/>
                <w:sz w:val="24"/>
                <w:szCs w:val="24"/>
              </w:rPr>
              <w:lastRenderedPageBreak/>
              <w:t>（</w:t>
            </w:r>
            <w:r>
              <w:rPr>
                <w:rFonts w:ascii="仿宋" w:eastAsia="仿宋" w:hAnsi="仿宋" w:cs="仿宋" w:hint="eastAsia"/>
                <w:b/>
                <w:bCs/>
                <w:sz w:val="24"/>
                <w:szCs w:val="24"/>
              </w:rPr>
              <w:t>2</w:t>
            </w:r>
            <w:r>
              <w:rPr>
                <w:rFonts w:ascii="仿宋" w:eastAsia="仿宋" w:hAnsi="仿宋" w:cs="仿宋" w:hint="eastAsia"/>
                <w:b/>
                <w:bCs/>
                <w:sz w:val="24"/>
                <w:szCs w:val="24"/>
              </w:rPr>
              <w:t>）关键技术研究方法切实可行</w:t>
            </w:r>
          </w:p>
          <w:p w:rsidR="005112FD" w:rsidRDefault="009B01B3">
            <w:pPr>
              <w:spacing w:line="360" w:lineRule="exact"/>
              <w:rPr>
                <w:rFonts w:ascii="仿宋" w:eastAsia="仿宋" w:hAnsi="仿宋" w:cs="仿宋"/>
                <w:sz w:val="24"/>
                <w:szCs w:val="24"/>
              </w:rPr>
            </w:pPr>
            <w:r>
              <w:rPr>
                <w:rFonts w:ascii="仿宋" w:eastAsia="仿宋" w:hAnsi="仿宋" w:cs="仿宋" w:hint="eastAsia"/>
                <w:sz w:val="24"/>
                <w:szCs w:val="24"/>
              </w:rPr>
              <w:t>该申请书中用于分子的合成及其制备的原材料均为常规药品和试剂，且制备方法均为简单的有机合成。实验中所采用的实验手段例如；</w:t>
            </w:r>
            <w:r>
              <w:rPr>
                <w:rFonts w:ascii="仿宋" w:eastAsia="仿宋" w:hAnsi="仿宋" w:cs="仿宋" w:hint="eastAsia"/>
                <w:sz w:val="24"/>
                <w:szCs w:val="24"/>
              </w:rPr>
              <w:t>DSC, POM, XRD,</w:t>
            </w:r>
            <w:r>
              <w:rPr>
                <w:rFonts w:ascii="仿宋" w:eastAsia="仿宋" w:hAnsi="仿宋" w:cs="仿宋" w:hint="eastAsia"/>
                <w:sz w:val="24"/>
                <w:szCs w:val="24"/>
              </w:rPr>
              <w:t>等方法是研究领域经典的研究手段，为项目的开展提供了切实可行的研究方法。</w:t>
            </w:r>
          </w:p>
          <w:p w:rsidR="005112FD" w:rsidRDefault="005112FD">
            <w:pPr>
              <w:spacing w:before="120"/>
              <w:ind w:left="57" w:right="57"/>
              <w:rPr>
                <w:rFonts w:ascii="仿宋" w:eastAsia="仿宋" w:hAnsi="仿宋" w:cs="仿宋"/>
                <w:b/>
                <w:sz w:val="24"/>
                <w:szCs w:val="24"/>
              </w:rPr>
            </w:pPr>
          </w:p>
          <w:p w:rsidR="005112FD" w:rsidRDefault="009B01B3">
            <w:pPr>
              <w:spacing w:before="120"/>
              <w:ind w:left="57" w:right="57"/>
              <w:rPr>
                <w:rFonts w:ascii="仿宋" w:eastAsia="仿宋" w:hAnsi="仿宋" w:cs="仿宋"/>
                <w:b/>
                <w:sz w:val="24"/>
                <w:szCs w:val="24"/>
              </w:rPr>
            </w:pPr>
            <w:r>
              <w:rPr>
                <w:rFonts w:ascii="仿宋" w:eastAsia="仿宋" w:hAnsi="仿宋" w:cs="仿宋" w:hint="eastAsia"/>
                <w:b/>
                <w:sz w:val="24"/>
                <w:szCs w:val="24"/>
              </w:rPr>
              <w:t>2</w:t>
            </w:r>
            <w:r>
              <w:rPr>
                <w:rFonts w:ascii="仿宋" w:eastAsia="仿宋" w:hAnsi="仿宋" w:cs="仿宋" w:hint="eastAsia"/>
                <w:b/>
                <w:sz w:val="24"/>
                <w:szCs w:val="24"/>
              </w:rPr>
              <w:t>、预期成果</w:t>
            </w:r>
          </w:p>
          <w:p w:rsidR="005112FD" w:rsidRDefault="009B01B3">
            <w:pPr>
              <w:spacing w:before="120"/>
              <w:ind w:left="57" w:right="57"/>
              <w:rPr>
                <w:rFonts w:eastAsia="楷体_GB2312"/>
                <w:sz w:val="28"/>
                <w:szCs w:val="28"/>
              </w:rPr>
            </w:pPr>
            <w:r>
              <w:rPr>
                <w:rFonts w:ascii="仿宋" w:eastAsia="仿宋" w:hAnsi="仿宋" w:cs="仿宋" w:hint="eastAsia"/>
                <w:sz w:val="24"/>
                <w:szCs w:val="24"/>
              </w:rPr>
              <w:t>合成的分子在有机发光二极管，显示器，磁，感应器，生物探针等方面具有更加独特的应用。</w:t>
            </w:r>
          </w:p>
        </w:tc>
      </w:tr>
      <w:tr w:rsidR="005112FD">
        <w:trPr>
          <w:trHeight w:val="2946"/>
        </w:trPr>
        <w:tc>
          <w:tcPr>
            <w:tcW w:w="9366" w:type="dxa"/>
            <w:gridSpan w:val="8"/>
          </w:tcPr>
          <w:p w:rsidR="005112FD" w:rsidRDefault="009B01B3">
            <w:pPr>
              <w:rPr>
                <w:rFonts w:eastAsia="楷体_GB2312"/>
                <w:sz w:val="28"/>
                <w:szCs w:val="28"/>
              </w:rPr>
            </w:pPr>
            <w:r>
              <w:rPr>
                <w:rFonts w:eastAsia="楷体_GB2312" w:hint="eastAsia"/>
                <w:sz w:val="28"/>
                <w:szCs w:val="28"/>
              </w:rPr>
              <w:lastRenderedPageBreak/>
              <w:t>年度目标和工作内容（分年度写）</w:t>
            </w:r>
          </w:p>
          <w:p w:rsidR="005112FD" w:rsidRDefault="009B01B3">
            <w:pPr>
              <w:ind w:firstLineChars="200" w:firstLine="482"/>
              <w:rPr>
                <w:rFonts w:ascii="仿宋" w:eastAsia="仿宋" w:hAnsi="仿宋" w:cs="仿宋"/>
                <w:b/>
                <w:bCs/>
                <w:sz w:val="24"/>
                <w:szCs w:val="24"/>
              </w:rPr>
            </w:pPr>
            <w:r>
              <w:rPr>
                <w:rFonts w:ascii="仿宋" w:eastAsia="仿宋" w:hAnsi="仿宋" w:cs="仿宋" w:hint="eastAsia"/>
                <w:b/>
                <w:bCs/>
                <w:sz w:val="24"/>
                <w:szCs w:val="24"/>
              </w:rPr>
              <w:t>2018.03</w:t>
            </w:r>
            <w:r>
              <w:rPr>
                <w:rFonts w:ascii="仿宋" w:eastAsia="仿宋" w:hAnsi="仿宋" w:cs="仿宋" w:hint="eastAsia"/>
                <w:b/>
                <w:bCs/>
                <w:sz w:val="24"/>
                <w:szCs w:val="24"/>
              </w:rPr>
              <w:t>—</w:t>
            </w:r>
            <w:r>
              <w:rPr>
                <w:rFonts w:ascii="仿宋" w:eastAsia="仿宋" w:hAnsi="仿宋" w:cs="仿宋" w:hint="eastAsia"/>
                <w:b/>
                <w:bCs/>
                <w:sz w:val="24"/>
                <w:szCs w:val="24"/>
              </w:rPr>
              <w:t>2019.03</w:t>
            </w:r>
          </w:p>
          <w:p w:rsidR="005112FD" w:rsidRDefault="009B01B3">
            <w:pPr>
              <w:ind w:firstLineChars="200" w:firstLine="480"/>
              <w:rPr>
                <w:rFonts w:ascii="仿宋" w:eastAsia="仿宋" w:hAnsi="仿宋" w:cs="仿宋"/>
                <w:sz w:val="24"/>
                <w:szCs w:val="24"/>
              </w:rPr>
            </w:pPr>
            <w:r>
              <w:rPr>
                <w:rFonts w:ascii="仿宋" w:eastAsia="仿宋" w:hAnsi="仿宋" w:cs="仿宋" w:hint="eastAsia"/>
                <w:sz w:val="24"/>
                <w:szCs w:val="24"/>
              </w:rPr>
              <w:t>初步合成三联吡啶取代的四苯乙烯所需的原料四苯乙烯的氯代衍生物</w:t>
            </w:r>
            <w:r>
              <w:rPr>
                <w:rFonts w:ascii="仿宋" w:eastAsia="仿宋" w:hAnsi="仿宋" w:cs="仿宋" w:hint="eastAsia"/>
                <w:sz w:val="24"/>
                <w:szCs w:val="24"/>
              </w:rPr>
              <w:t>(TPE-CL)</w:t>
            </w:r>
            <w:r>
              <w:rPr>
                <w:rFonts w:ascii="仿宋" w:eastAsia="仿宋" w:hAnsi="仿宋" w:cs="仿宋" w:hint="eastAsia"/>
                <w:sz w:val="24"/>
                <w:szCs w:val="24"/>
              </w:rPr>
              <w:t>和三联吡啶衍生物（</w:t>
            </w:r>
            <w:r>
              <w:rPr>
                <w:rFonts w:ascii="仿宋" w:eastAsia="仿宋" w:hAnsi="仿宋" w:cs="仿宋" w:hint="eastAsia"/>
                <w:sz w:val="24"/>
                <w:szCs w:val="24"/>
              </w:rPr>
              <w:t>TPY-SH</w:t>
            </w:r>
            <w:r>
              <w:rPr>
                <w:rFonts w:ascii="仿宋" w:eastAsia="仿宋" w:hAnsi="仿宋" w:cs="仿宋" w:hint="eastAsia"/>
                <w:sz w:val="24"/>
                <w:szCs w:val="24"/>
              </w:rPr>
              <w:t>），且熟练掌握其实验技巧，能大量合成原料，为之后合成三联吡啶取代的四苯乙烯做准备，并能顺利通过该创新性实验的中期检查。</w:t>
            </w:r>
          </w:p>
          <w:p w:rsidR="005112FD" w:rsidRDefault="009B01B3">
            <w:pPr>
              <w:ind w:firstLineChars="200" w:firstLine="482"/>
              <w:rPr>
                <w:rFonts w:ascii="仿宋" w:eastAsia="仿宋" w:hAnsi="仿宋" w:cs="仿宋"/>
                <w:b/>
                <w:bCs/>
                <w:sz w:val="24"/>
                <w:szCs w:val="24"/>
              </w:rPr>
            </w:pPr>
            <w:r>
              <w:rPr>
                <w:rFonts w:ascii="仿宋" w:eastAsia="仿宋" w:hAnsi="仿宋" w:cs="仿宋" w:hint="eastAsia"/>
                <w:b/>
                <w:bCs/>
                <w:sz w:val="24"/>
                <w:szCs w:val="24"/>
              </w:rPr>
              <w:t>2019.03-2020.03</w:t>
            </w:r>
          </w:p>
          <w:p w:rsidR="005112FD" w:rsidRDefault="009B01B3">
            <w:pPr>
              <w:ind w:firstLineChars="200" w:firstLine="480"/>
              <w:rPr>
                <w:rFonts w:eastAsia="楷体_GB2312"/>
                <w:sz w:val="28"/>
                <w:szCs w:val="28"/>
              </w:rPr>
            </w:pPr>
            <w:r>
              <w:rPr>
                <w:rFonts w:ascii="仿宋" w:eastAsia="仿宋" w:hAnsi="仿宋" w:cs="仿宋" w:hint="eastAsia"/>
                <w:sz w:val="24"/>
                <w:szCs w:val="24"/>
              </w:rPr>
              <w:t>能熟练合成三联吡啶取代的四苯乙烯，完成测试表征，预计能得到我们所期望的具有双重聚集诱导发光效应的磷光分子（三联吡啶取代的四苯乙烯），并顺利完成该创新性实验项目的结题。</w:t>
            </w:r>
          </w:p>
        </w:tc>
      </w:tr>
      <w:tr w:rsidR="005112FD">
        <w:trPr>
          <w:trHeight w:val="2476"/>
        </w:trPr>
        <w:tc>
          <w:tcPr>
            <w:tcW w:w="9366" w:type="dxa"/>
            <w:gridSpan w:val="8"/>
          </w:tcPr>
          <w:p w:rsidR="005112FD" w:rsidRDefault="009B01B3">
            <w:pPr>
              <w:rPr>
                <w:rFonts w:eastAsia="楷体_GB2312"/>
                <w:sz w:val="28"/>
                <w:szCs w:val="28"/>
              </w:rPr>
            </w:pPr>
            <w:r>
              <w:rPr>
                <w:rFonts w:eastAsia="楷体_GB2312" w:hint="eastAsia"/>
                <w:sz w:val="28"/>
                <w:szCs w:val="28"/>
              </w:rPr>
              <w:t>指导教师意见</w:t>
            </w:r>
          </w:p>
          <w:p w:rsidR="005112FD" w:rsidRDefault="009B01B3">
            <w:pPr>
              <w:spacing w:beforeLines="50" w:before="120" w:line="360" w:lineRule="auto"/>
              <w:ind w:firstLineChars="200" w:firstLine="480"/>
              <w:rPr>
                <w:rFonts w:ascii="仿宋" w:eastAsia="仿宋" w:hAnsi="仿宋" w:cs="仿宋"/>
                <w:sz w:val="24"/>
                <w:szCs w:val="24"/>
              </w:rPr>
            </w:pPr>
            <w:r>
              <w:rPr>
                <w:rFonts w:ascii="仿宋" w:eastAsia="仿宋" w:hAnsi="仿宋" w:cs="仿宋" w:hint="eastAsia"/>
                <w:sz w:val="24"/>
                <w:szCs w:val="24"/>
              </w:rPr>
              <w:t>杨恺鹏</w:t>
            </w:r>
            <w:r>
              <w:rPr>
                <w:rFonts w:ascii="仿宋" w:eastAsia="仿宋" w:hAnsi="仿宋" w:cs="仿宋" w:hint="eastAsia"/>
                <w:sz w:val="24"/>
                <w:szCs w:val="24"/>
              </w:rPr>
              <w:t>、黄江等同学基础较好，并对科研具有一定的兴趣，对该课题已经做了一定的调研，具有一定的能力将该课题完成。本人愿意作为他们的指导老师，一起完成该项目！</w:t>
            </w:r>
          </w:p>
          <w:p w:rsidR="005112FD" w:rsidRDefault="009B01B3">
            <w:pPr>
              <w:ind w:firstLineChars="1200" w:firstLine="3360"/>
              <w:rPr>
                <w:rFonts w:eastAsia="楷体_GB2312"/>
                <w:sz w:val="28"/>
                <w:szCs w:val="28"/>
              </w:rPr>
            </w:pPr>
            <w:r>
              <w:rPr>
                <w:rFonts w:eastAsia="楷体_GB2312" w:hint="eastAsia"/>
                <w:sz w:val="28"/>
                <w:szCs w:val="28"/>
              </w:rPr>
              <w:t>签字：</w:t>
            </w:r>
            <w:r>
              <w:rPr>
                <w:rFonts w:eastAsia="楷体_GB2312" w:hint="eastAsia"/>
                <w:sz w:val="28"/>
                <w:szCs w:val="28"/>
              </w:rPr>
              <w:t xml:space="preserve">                        </w:t>
            </w:r>
            <w:r>
              <w:rPr>
                <w:rFonts w:eastAsia="楷体_GB2312" w:hint="eastAsia"/>
                <w:sz w:val="28"/>
                <w:szCs w:val="28"/>
              </w:rPr>
              <w:t>日期：</w:t>
            </w:r>
          </w:p>
        </w:tc>
      </w:tr>
      <w:tr w:rsidR="005112FD">
        <w:trPr>
          <w:trHeight w:val="2476"/>
        </w:trPr>
        <w:tc>
          <w:tcPr>
            <w:tcW w:w="9366" w:type="dxa"/>
            <w:gridSpan w:val="8"/>
          </w:tcPr>
          <w:p w:rsidR="005112FD" w:rsidRDefault="009B01B3">
            <w:pPr>
              <w:rPr>
                <w:rFonts w:eastAsia="楷体_GB2312"/>
                <w:sz w:val="28"/>
                <w:szCs w:val="28"/>
              </w:rPr>
            </w:pPr>
            <w:r>
              <w:rPr>
                <w:rFonts w:eastAsia="楷体_GB2312" w:hint="eastAsia"/>
                <w:sz w:val="28"/>
                <w:szCs w:val="28"/>
              </w:rPr>
              <w:t>学院推荐意见</w:t>
            </w:r>
          </w:p>
          <w:p w:rsidR="005112FD" w:rsidRDefault="005112FD">
            <w:pPr>
              <w:rPr>
                <w:rFonts w:eastAsia="楷体_GB2312"/>
                <w:sz w:val="28"/>
                <w:szCs w:val="28"/>
              </w:rPr>
            </w:pPr>
          </w:p>
          <w:p w:rsidR="005112FD" w:rsidRDefault="005112FD">
            <w:pPr>
              <w:rPr>
                <w:rFonts w:eastAsia="楷体_GB2312"/>
                <w:sz w:val="28"/>
                <w:szCs w:val="28"/>
              </w:rPr>
            </w:pPr>
          </w:p>
          <w:p w:rsidR="005112FD" w:rsidRDefault="005112FD">
            <w:pPr>
              <w:rPr>
                <w:rFonts w:eastAsia="楷体_GB2312"/>
                <w:sz w:val="28"/>
                <w:szCs w:val="28"/>
              </w:rPr>
            </w:pPr>
          </w:p>
          <w:p w:rsidR="005112FD" w:rsidRDefault="005112FD">
            <w:pPr>
              <w:rPr>
                <w:rFonts w:eastAsia="楷体_GB2312"/>
                <w:sz w:val="28"/>
                <w:szCs w:val="28"/>
              </w:rPr>
            </w:pPr>
          </w:p>
          <w:p w:rsidR="005112FD" w:rsidRDefault="005112FD">
            <w:pPr>
              <w:rPr>
                <w:rFonts w:eastAsia="楷体_GB2312"/>
                <w:sz w:val="28"/>
                <w:szCs w:val="28"/>
              </w:rPr>
            </w:pPr>
          </w:p>
          <w:p w:rsidR="005112FD" w:rsidRDefault="009B01B3">
            <w:pPr>
              <w:ind w:firstLineChars="1200" w:firstLine="3360"/>
              <w:rPr>
                <w:rFonts w:eastAsia="楷体_GB2312"/>
                <w:b/>
                <w:bCs/>
                <w:sz w:val="28"/>
                <w:szCs w:val="28"/>
              </w:rPr>
            </w:pPr>
            <w:r>
              <w:rPr>
                <w:rFonts w:eastAsia="楷体_GB2312" w:hint="eastAsia"/>
                <w:sz w:val="28"/>
                <w:szCs w:val="28"/>
              </w:rPr>
              <w:t>签字（盖章）：</w:t>
            </w:r>
            <w:r>
              <w:rPr>
                <w:rFonts w:eastAsia="楷体_GB2312" w:hint="eastAsia"/>
                <w:sz w:val="28"/>
                <w:szCs w:val="28"/>
              </w:rPr>
              <w:t xml:space="preserve">            </w:t>
            </w:r>
            <w:r>
              <w:rPr>
                <w:rFonts w:eastAsia="楷体_GB2312" w:hint="eastAsia"/>
                <w:sz w:val="28"/>
                <w:szCs w:val="28"/>
              </w:rPr>
              <w:t>日期：</w:t>
            </w:r>
          </w:p>
        </w:tc>
      </w:tr>
    </w:tbl>
    <w:p w:rsidR="005112FD" w:rsidRDefault="005112FD">
      <w:pPr>
        <w:rPr>
          <w:sz w:val="28"/>
          <w:szCs w:val="28"/>
        </w:rPr>
      </w:pPr>
    </w:p>
    <w:sectPr w:rsidR="005112FD">
      <w:headerReference w:type="default" r:id="rId17"/>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1B3" w:rsidRDefault="009B01B3">
      <w:pPr>
        <w:spacing w:after="0"/>
      </w:pPr>
      <w:r>
        <w:separator/>
      </w:r>
    </w:p>
  </w:endnote>
  <w:endnote w:type="continuationSeparator" w:id="0">
    <w:p w:rsidR="009B01B3" w:rsidRDefault="009B0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AdvOT2e364b11">
    <w:altName w:val="Times New Roman"/>
    <w:charset w:val="00"/>
    <w:family w:val="roman"/>
    <w:pitch w:val="default"/>
  </w:font>
  <w:font w:name="AdvOT8608a8d1+03">
    <w:altName w:val="Times New Roman"/>
    <w:charset w:val="00"/>
    <w:family w:val="roman"/>
    <w:pitch w:val="default"/>
  </w:font>
  <w:font w:name="AdvOT8608a8d1">
    <w:altName w:val="Times New Roman"/>
    <w:charset w:val="00"/>
    <w:family w:val="roman"/>
    <w:pitch w:val="default"/>
  </w:font>
  <w:font w:name="AdvOT8608a8d1+22">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1B3" w:rsidRDefault="009B01B3">
      <w:pPr>
        <w:spacing w:after="0"/>
      </w:pPr>
      <w:r>
        <w:separator/>
      </w:r>
    </w:p>
  </w:footnote>
  <w:footnote w:type="continuationSeparator" w:id="0">
    <w:p w:rsidR="009B01B3" w:rsidRDefault="009B0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FD" w:rsidRDefault="005112FD">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1E620"/>
    <w:multiLevelType w:val="singleLevel"/>
    <w:tmpl w:val="15E1E620"/>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12D8A"/>
    <w:rsid w:val="00030951"/>
    <w:rsid w:val="0005400F"/>
    <w:rsid w:val="0007730D"/>
    <w:rsid w:val="00096A05"/>
    <w:rsid w:val="000D0007"/>
    <w:rsid w:val="000D4DAE"/>
    <w:rsid w:val="0010381F"/>
    <w:rsid w:val="00113891"/>
    <w:rsid w:val="001252E8"/>
    <w:rsid w:val="001331FF"/>
    <w:rsid w:val="00151B77"/>
    <w:rsid w:val="0016531A"/>
    <w:rsid w:val="001D6C7E"/>
    <w:rsid w:val="001E3464"/>
    <w:rsid w:val="001E4E2A"/>
    <w:rsid w:val="00205956"/>
    <w:rsid w:val="00206C97"/>
    <w:rsid w:val="00211299"/>
    <w:rsid w:val="00254896"/>
    <w:rsid w:val="00286AC4"/>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66FDC"/>
    <w:rsid w:val="00374AF8"/>
    <w:rsid w:val="003917DC"/>
    <w:rsid w:val="003A0FA5"/>
    <w:rsid w:val="003C3268"/>
    <w:rsid w:val="003D37D8"/>
    <w:rsid w:val="003F6C42"/>
    <w:rsid w:val="00423FEC"/>
    <w:rsid w:val="00426133"/>
    <w:rsid w:val="00427B72"/>
    <w:rsid w:val="0043394C"/>
    <w:rsid w:val="004358AB"/>
    <w:rsid w:val="00440BBF"/>
    <w:rsid w:val="00451A97"/>
    <w:rsid w:val="00466F76"/>
    <w:rsid w:val="00476761"/>
    <w:rsid w:val="00492156"/>
    <w:rsid w:val="004C6435"/>
    <w:rsid w:val="004F5730"/>
    <w:rsid w:val="005112FD"/>
    <w:rsid w:val="005162B4"/>
    <w:rsid w:val="005247A3"/>
    <w:rsid w:val="005423E9"/>
    <w:rsid w:val="00555941"/>
    <w:rsid w:val="005652A4"/>
    <w:rsid w:val="00575E7F"/>
    <w:rsid w:val="00577966"/>
    <w:rsid w:val="00582D29"/>
    <w:rsid w:val="005834D3"/>
    <w:rsid w:val="005A6A1D"/>
    <w:rsid w:val="005C7C4B"/>
    <w:rsid w:val="005D3B0C"/>
    <w:rsid w:val="005E4E3D"/>
    <w:rsid w:val="005E6D2F"/>
    <w:rsid w:val="005F58ED"/>
    <w:rsid w:val="006149B8"/>
    <w:rsid w:val="00615A2A"/>
    <w:rsid w:val="006223BC"/>
    <w:rsid w:val="00625430"/>
    <w:rsid w:val="006378FC"/>
    <w:rsid w:val="00670401"/>
    <w:rsid w:val="0068120A"/>
    <w:rsid w:val="006856E9"/>
    <w:rsid w:val="00697771"/>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A05F0"/>
    <w:rsid w:val="009B01B3"/>
    <w:rsid w:val="009B1EA6"/>
    <w:rsid w:val="009B604D"/>
    <w:rsid w:val="009C3F1A"/>
    <w:rsid w:val="009C4293"/>
    <w:rsid w:val="009D0BAC"/>
    <w:rsid w:val="009D3DF1"/>
    <w:rsid w:val="009E5795"/>
    <w:rsid w:val="009F02F8"/>
    <w:rsid w:val="00A6141D"/>
    <w:rsid w:val="00A64455"/>
    <w:rsid w:val="00A8591F"/>
    <w:rsid w:val="00AC1F0B"/>
    <w:rsid w:val="00AF1CA1"/>
    <w:rsid w:val="00AF76C6"/>
    <w:rsid w:val="00B20D9E"/>
    <w:rsid w:val="00B6666C"/>
    <w:rsid w:val="00B73197"/>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0BC4"/>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56C51FD"/>
    <w:rsid w:val="0B5956DF"/>
    <w:rsid w:val="0B995C9E"/>
    <w:rsid w:val="0CC86468"/>
    <w:rsid w:val="10390E97"/>
    <w:rsid w:val="117B708F"/>
    <w:rsid w:val="13117FC7"/>
    <w:rsid w:val="1B366DAF"/>
    <w:rsid w:val="294B1CAB"/>
    <w:rsid w:val="2D7864AC"/>
    <w:rsid w:val="37041032"/>
    <w:rsid w:val="3D6C6CCC"/>
    <w:rsid w:val="3E227DDA"/>
    <w:rsid w:val="458D558C"/>
    <w:rsid w:val="468E4A32"/>
    <w:rsid w:val="46E01EB2"/>
    <w:rsid w:val="4D3F43BC"/>
    <w:rsid w:val="4DE35C0C"/>
    <w:rsid w:val="4F4F6409"/>
    <w:rsid w:val="50787170"/>
    <w:rsid w:val="55677F64"/>
    <w:rsid w:val="57E40216"/>
    <w:rsid w:val="61760846"/>
    <w:rsid w:val="620C3CA1"/>
    <w:rsid w:val="66717D01"/>
    <w:rsid w:val="6A8F4AB7"/>
    <w:rsid w:val="6BAB63A2"/>
    <w:rsid w:val="71DD4B3A"/>
    <w:rsid w:val="7567123E"/>
    <w:rsid w:val="757C1ADD"/>
    <w:rsid w:val="7ABD7F16"/>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CEA5BCF-6BDB-4CCE-9518-950060A7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paragraph" w:styleId="af7">
    <w:name w:val="Normal (Web)"/>
    <w:basedOn w:val="a"/>
    <w:uiPriority w:val="99"/>
    <w:semiHidden/>
    <w:unhideWhenUsed/>
    <w:pPr>
      <w:adjustRightInd/>
      <w:snapToGrid/>
      <w:spacing w:before="100" w:beforeAutospacing="1" w:after="100" w:afterAutospacing="1"/>
    </w:pPr>
    <w:rPr>
      <w:rFonts w:ascii="宋体" w:eastAsia="宋体" w:hAnsi="宋体" w:cs="宋体"/>
      <w:sz w:val="24"/>
      <w:szCs w:val="24"/>
    </w:rPr>
  </w:style>
  <w:style w:type="character" w:styleId="af8">
    <w:name w:val="Strong"/>
    <w:basedOn w:val="a0"/>
    <w:uiPriority w:val="22"/>
    <w:qFormat/>
    <w:locked/>
    <w:rPr>
      <w:b/>
      <w:bCs/>
    </w:rPr>
  </w:style>
  <w:style w:type="character" w:styleId="af9">
    <w:name w:val="page number"/>
    <w:uiPriority w:val="99"/>
    <w:qFormat/>
    <w:rPr>
      <w:rFonts w:ascii="Arial" w:hAnsi="Arial" w:cs="Verdana"/>
      <w:b/>
      <w:sz w:val="28"/>
      <w:szCs w:val="28"/>
      <w:lang w:val="en-US" w:eastAsia="en-US" w:bidi="ar-SA"/>
    </w:rPr>
  </w:style>
  <w:style w:type="character" w:styleId="afa">
    <w:name w:val="FollowedHyperlink"/>
    <w:uiPriority w:val="99"/>
    <w:qFormat/>
    <w:rPr>
      <w:rFonts w:ascii="Arial" w:hAnsi="Arial" w:cs="Verdana"/>
      <w:b/>
      <w:color w:val="800080"/>
      <w:sz w:val="28"/>
      <w:szCs w:val="28"/>
      <w:u w:val="single"/>
      <w:lang w:val="en-US" w:eastAsia="en-US" w:bidi="ar-SA"/>
    </w:rPr>
  </w:style>
  <w:style w:type="character" w:styleId="afb">
    <w:name w:val="Emphasis"/>
    <w:uiPriority w:val="99"/>
    <w:qFormat/>
    <w:rPr>
      <w:rFonts w:ascii="Arial" w:hAnsi="Arial" w:cs="Verdana"/>
      <w:b/>
      <w:color w:val="CC0000"/>
      <w:sz w:val="28"/>
      <w:szCs w:val="28"/>
      <w:lang w:val="en-US" w:eastAsia="en-US" w:bidi="ar-SA"/>
    </w:rPr>
  </w:style>
  <w:style w:type="character" w:styleId="afc">
    <w:name w:val="Hyperlink"/>
    <w:uiPriority w:val="99"/>
    <w:qFormat/>
    <w:rPr>
      <w:rFonts w:ascii="Arial" w:hAnsi="Arial" w:cs="Verdana"/>
      <w:b/>
      <w:color w:val="000000"/>
      <w:sz w:val="28"/>
      <w:szCs w:val="28"/>
      <w:u w:val="none"/>
      <w:lang w:val="en-US" w:eastAsia="en-US" w:bidi="ar-SA"/>
    </w:rPr>
  </w:style>
  <w:style w:type="character" w:styleId="afd">
    <w:name w:val="annotation reference"/>
    <w:uiPriority w:val="99"/>
    <w:semiHidden/>
    <w:qFormat/>
    <w:rPr>
      <w:rFonts w:ascii="Arial" w:hAnsi="Arial" w:cs="Verdana"/>
      <w:b/>
      <w:sz w:val="21"/>
      <w:szCs w:val="21"/>
      <w:lang w:val="en-US" w:eastAsia="en-US" w:bidi="ar-SA"/>
    </w:rPr>
  </w:style>
  <w:style w:type="character" w:styleId="afe">
    <w:name w:val="footnote reference"/>
    <w:uiPriority w:val="99"/>
    <w:semiHidden/>
    <w:qFormat/>
    <w:rPr>
      <w:rFonts w:ascii="Arial" w:hAnsi="Arial" w:cs="Verdana"/>
      <w:b/>
      <w:sz w:val="28"/>
      <w:szCs w:val="28"/>
      <w:vertAlign w:val="superscript"/>
      <w:lang w:val="en-US" w:eastAsia="en-US" w:bidi="ar-SA"/>
    </w:rPr>
  </w:style>
  <w:style w:type="table" w:styleId="af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f0">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character" w:customStyle="1" w:styleId="apple-converted-space">
    <w:name w:val="apple-converted-space"/>
    <w:basedOn w:val="a0"/>
    <w:qFormat/>
  </w:style>
  <w:style w:type="character" w:customStyle="1" w:styleId="fontstyle01">
    <w:name w:val="fontstyle01"/>
    <w:qFormat/>
    <w:rPr>
      <w:rFonts w:ascii="AdvOT2e364b11" w:hAnsi="AdvOT2e364b11" w:hint="default"/>
      <w:color w:val="000000"/>
      <w:sz w:val="20"/>
      <w:szCs w:val="20"/>
    </w:rPr>
  </w:style>
  <w:style w:type="character" w:customStyle="1" w:styleId="fontstyle11">
    <w:name w:val="fontstyle11"/>
    <w:qFormat/>
    <w:rPr>
      <w:rFonts w:ascii="AdvOT8608a8d1+03" w:hAnsi="AdvOT8608a8d1+03" w:hint="default"/>
      <w:color w:val="000000"/>
      <w:sz w:val="20"/>
      <w:szCs w:val="20"/>
    </w:rPr>
  </w:style>
  <w:style w:type="character" w:customStyle="1" w:styleId="fontstyle31">
    <w:name w:val="fontstyle31"/>
    <w:qFormat/>
    <w:rPr>
      <w:rFonts w:ascii="AdvOT8608a8d1" w:hAnsi="AdvOT8608a8d1" w:hint="default"/>
      <w:color w:val="000000"/>
      <w:sz w:val="20"/>
      <w:szCs w:val="20"/>
    </w:rPr>
  </w:style>
  <w:style w:type="character" w:customStyle="1" w:styleId="fontstyle41">
    <w:name w:val="fontstyle41"/>
    <w:qFormat/>
    <w:rPr>
      <w:rFonts w:ascii="AdvOT8608a8d1+22" w:hAnsi="AdvOT8608a8d1+22" w:hint="default"/>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1388F-45D9-40DC-8A61-CFFD3769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1425</Words>
  <Characters>8123</Characters>
  <Application>Microsoft Office Word</Application>
  <DocSecurity>0</DocSecurity>
  <Lines>67</Lines>
  <Paragraphs>19</Paragraphs>
  <ScaleCrop>false</ScaleCrop>
  <Company>china</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2017-12-12T00:44:00Z</dcterms:created>
  <dcterms:modified xsi:type="dcterms:W3CDTF">2020-03-16T08:06:00Z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