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91D" w:rsidRDefault="0005291D">
      <w:pPr>
        <w:spacing w:line="360" w:lineRule="auto"/>
        <w:rPr>
          <w:rFonts w:ascii="仿宋" w:eastAsia="仿宋" w:hAnsi="仿宋"/>
          <w:b/>
          <w:sz w:val="24"/>
          <w:szCs w:val="24"/>
        </w:rPr>
      </w:pPr>
    </w:p>
    <w:p w:rsidR="0005291D" w:rsidRDefault="0035243D">
      <w:pPr>
        <w:pStyle w:val="3"/>
        <w:spacing w:line="360" w:lineRule="auto"/>
        <w:rPr>
          <w:rFonts w:ascii="仿宋" w:eastAsia="仿宋" w:hAnsi="仿宋"/>
          <w:sz w:val="36"/>
          <w:szCs w:val="36"/>
        </w:rPr>
      </w:pPr>
      <w:bookmarkStart w:id="0" w:name="_第八届大学生研究性学习和创新性实验计划项目申__报__表"/>
      <w:bookmarkEnd w:id="0"/>
      <w:r>
        <w:rPr>
          <w:rFonts w:ascii="仿宋" w:eastAsia="仿宋" w:hAnsi="仿宋" w:hint="eastAsia"/>
          <w:sz w:val="36"/>
          <w:szCs w:val="36"/>
        </w:rPr>
        <w:t>第十一届大学生研究性学习和创新性实验计划项目</w:t>
      </w:r>
    </w:p>
    <w:p w:rsidR="0005291D" w:rsidRDefault="0035243D">
      <w:pPr>
        <w:pStyle w:val="3"/>
        <w:spacing w:line="360" w:lineRule="auto"/>
        <w:rPr>
          <w:rFonts w:ascii="仿宋" w:eastAsia="仿宋" w:hAnsi="仿宋"/>
        </w:rPr>
      </w:pPr>
      <w:r>
        <w:rPr>
          <w:rFonts w:ascii="仿宋" w:eastAsia="仿宋" w:hAnsi="仿宋" w:hint="eastAsia"/>
        </w:rPr>
        <w:t>申报表</w:t>
      </w:r>
    </w:p>
    <w:p w:rsidR="0005291D" w:rsidRDefault="0005291D">
      <w:pPr>
        <w:spacing w:line="360" w:lineRule="auto"/>
        <w:rPr>
          <w:rFonts w:ascii="仿宋" w:eastAsia="仿宋" w:hAnsi="仿宋"/>
          <w:sz w:val="24"/>
          <w:szCs w:val="24"/>
        </w:rPr>
      </w:pPr>
    </w:p>
    <w:tbl>
      <w:tblPr>
        <w:tblStyle w:val="afd"/>
        <w:tblW w:w="9639" w:type="dxa"/>
        <w:jc w:val="center"/>
        <w:tblLayout w:type="fixed"/>
        <w:tblLook w:val="04A0" w:firstRow="1" w:lastRow="0" w:firstColumn="1" w:lastColumn="0" w:noHBand="0" w:noVBand="1"/>
      </w:tblPr>
      <w:tblGrid>
        <w:gridCol w:w="3119"/>
        <w:gridCol w:w="6520"/>
      </w:tblGrid>
      <w:tr w:rsidR="0005291D">
        <w:trPr>
          <w:jc w:val="center"/>
        </w:trPr>
        <w:tc>
          <w:tcPr>
            <w:tcW w:w="3119"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项目名称</w:t>
            </w:r>
          </w:p>
        </w:tc>
        <w:tc>
          <w:tcPr>
            <w:tcW w:w="6520"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精准调控滑动弧等离子体特性深度处理挥发性有机物</w:t>
            </w:r>
          </w:p>
        </w:tc>
      </w:tr>
      <w:tr w:rsidR="0005291D">
        <w:trPr>
          <w:jc w:val="center"/>
        </w:trPr>
        <w:tc>
          <w:tcPr>
            <w:tcW w:w="3119"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项目类别</w:t>
            </w:r>
          </w:p>
        </w:tc>
        <w:tc>
          <w:tcPr>
            <w:tcW w:w="6520"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创新训练项目</w:t>
            </w:r>
            <w:r>
              <w:rPr>
                <w:rFonts w:ascii="仿宋" w:eastAsia="仿宋" w:hAnsi="仿宋"/>
                <w:sz w:val="24"/>
                <w:szCs w:val="24"/>
              </w:rPr>
              <w:fldChar w:fldCharType="begin"/>
            </w:r>
            <w:r>
              <w:rPr>
                <w:rFonts w:ascii="仿宋" w:eastAsia="仿宋" w:hAnsi="仿宋" w:hint="eastAsia"/>
                <w:sz w:val="24"/>
                <w:szCs w:val="24"/>
              </w:rPr>
              <w:instrText>eq \o\ac(</w:instrText>
            </w:r>
            <w:r>
              <w:rPr>
                <w:rFonts w:ascii="仿宋" w:eastAsia="仿宋" w:hAnsi="仿宋" w:hint="eastAsia"/>
                <w:sz w:val="24"/>
                <w:szCs w:val="24"/>
              </w:rPr>
              <w:instrText>□</w:instrText>
            </w:r>
            <w:r>
              <w:rPr>
                <w:rFonts w:ascii="仿宋" w:eastAsia="仿宋" w:hAnsi="仿宋" w:hint="eastAsia"/>
                <w:sz w:val="24"/>
                <w:szCs w:val="24"/>
              </w:rPr>
              <w:instrText>,</w:instrText>
            </w:r>
            <w:r>
              <w:rPr>
                <w:rFonts w:ascii="仿宋" w:eastAsia="仿宋" w:hAnsi="仿宋" w:hint="eastAsia"/>
                <w:position w:val="2"/>
                <w:sz w:val="24"/>
                <w:szCs w:val="24"/>
              </w:rPr>
              <w:instrText>√</w:instrText>
            </w:r>
            <w:r>
              <w:rPr>
                <w:rFonts w:ascii="仿宋" w:eastAsia="仿宋" w:hAnsi="仿宋" w:hint="eastAsia"/>
                <w:sz w:val="24"/>
                <w:szCs w:val="24"/>
              </w:rPr>
              <w:instrText>)</w:instrText>
            </w:r>
            <w:r>
              <w:rPr>
                <w:rFonts w:ascii="仿宋" w:eastAsia="仿宋" w:hAnsi="仿宋"/>
                <w:sz w:val="24"/>
                <w:szCs w:val="24"/>
              </w:rPr>
              <w:fldChar w:fldCharType="end"/>
            </w:r>
            <w:r>
              <w:rPr>
                <w:rFonts w:ascii="仿宋" w:eastAsia="仿宋" w:hAnsi="仿宋" w:cs="微软雅黑" w:hint="eastAsia"/>
                <w:sz w:val="24"/>
                <w:szCs w:val="24"/>
              </w:rPr>
              <w:t>创业训练项目</w:t>
            </w:r>
            <w:r>
              <w:rPr>
                <w:rFonts w:ascii="仿宋" w:eastAsia="仿宋" w:hAnsi="仿宋"/>
                <w:sz w:val="24"/>
                <w:szCs w:val="24"/>
              </w:rPr>
              <w:t>□</w:t>
            </w:r>
          </w:p>
        </w:tc>
      </w:tr>
      <w:tr w:rsidR="0005291D">
        <w:trPr>
          <w:jc w:val="center"/>
        </w:trPr>
        <w:tc>
          <w:tcPr>
            <w:tcW w:w="3119"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项目科类</w:t>
            </w:r>
          </w:p>
        </w:tc>
        <w:tc>
          <w:tcPr>
            <w:tcW w:w="6520"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文科类</w:t>
            </w:r>
            <w:r>
              <w:rPr>
                <w:rFonts w:ascii="仿宋" w:eastAsia="仿宋" w:hAnsi="仿宋"/>
                <w:sz w:val="24"/>
                <w:szCs w:val="24"/>
              </w:rPr>
              <w:t xml:space="preserve">□ </w:t>
            </w:r>
            <w:r>
              <w:rPr>
                <w:rFonts w:ascii="仿宋" w:eastAsia="仿宋" w:hAnsi="仿宋" w:cs="微软雅黑" w:hint="eastAsia"/>
                <w:sz w:val="24"/>
                <w:szCs w:val="24"/>
              </w:rPr>
              <w:t>理科类</w:t>
            </w:r>
            <w:r>
              <w:rPr>
                <w:rFonts w:ascii="仿宋" w:eastAsia="仿宋" w:hAnsi="仿宋"/>
                <w:sz w:val="24"/>
                <w:szCs w:val="24"/>
              </w:rPr>
              <w:fldChar w:fldCharType="begin"/>
            </w:r>
            <w:r>
              <w:rPr>
                <w:rFonts w:ascii="仿宋" w:eastAsia="仿宋" w:hAnsi="仿宋" w:hint="eastAsia"/>
                <w:sz w:val="24"/>
                <w:szCs w:val="24"/>
              </w:rPr>
              <w:instrText>eq \o\ac(</w:instrText>
            </w:r>
            <w:r>
              <w:rPr>
                <w:rFonts w:ascii="仿宋" w:eastAsia="仿宋" w:hAnsi="仿宋" w:hint="eastAsia"/>
                <w:sz w:val="24"/>
                <w:szCs w:val="24"/>
              </w:rPr>
              <w:instrText>□</w:instrText>
            </w:r>
            <w:r>
              <w:rPr>
                <w:rFonts w:ascii="仿宋" w:eastAsia="仿宋" w:hAnsi="仿宋" w:hint="eastAsia"/>
                <w:sz w:val="24"/>
                <w:szCs w:val="24"/>
              </w:rPr>
              <w:instrText>,</w:instrText>
            </w:r>
            <w:r>
              <w:rPr>
                <w:rFonts w:ascii="仿宋" w:eastAsia="仿宋" w:hAnsi="仿宋" w:hint="eastAsia"/>
                <w:position w:val="2"/>
                <w:sz w:val="24"/>
                <w:szCs w:val="24"/>
              </w:rPr>
              <w:instrText>√</w:instrText>
            </w:r>
            <w:r>
              <w:rPr>
                <w:rFonts w:ascii="仿宋" w:eastAsia="仿宋" w:hAnsi="仿宋" w:hint="eastAsia"/>
                <w:sz w:val="24"/>
                <w:szCs w:val="24"/>
              </w:rPr>
              <w:instrText>)</w:instrText>
            </w:r>
            <w:r>
              <w:rPr>
                <w:rFonts w:ascii="仿宋" w:eastAsia="仿宋" w:hAnsi="仿宋"/>
                <w:sz w:val="24"/>
                <w:szCs w:val="24"/>
              </w:rPr>
              <w:fldChar w:fldCharType="end"/>
            </w:r>
          </w:p>
        </w:tc>
      </w:tr>
      <w:tr w:rsidR="0005291D">
        <w:trPr>
          <w:trHeight w:val="1026"/>
          <w:jc w:val="center"/>
        </w:trPr>
        <w:tc>
          <w:tcPr>
            <w:tcW w:w="3119"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项目级别</w:t>
            </w:r>
          </w:p>
        </w:tc>
        <w:tc>
          <w:tcPr>
            <w:tcW w:w="6520"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省部级</w:t>
            </w:r>
            <w:r>
              <w:rPr>
                <w:rFonts w:ascii="仿宋" w:eastAsia="仿宋" w:hAnsi="仿宋"/>
                <w:sz w:val="24"/>
                <w:szCs w:val="24"/>
              </w:rPr>
              <w:fldChar w:fldCharType="begin"/>
            </w:r>
            <w:r>
              <w:rPr>
                <w:rFonts w:ascii="仿宋" w:eastAsia="仿宋" w:hAnsi="仿宋" w:hint="eastAsia"/>
                <w:sz w:val="24"/>
                <w:szCs w:val="24"/>
              </w:rPr>
              <w:instrText>eq \o\ac(</w:instrText>
            </w:r>
            <w:r>
              <w:rPr>
                <w:rFonts w:ascii="仿宋" w:eastAsia="仿宋" w:hAnsi="仿宋" w:hint="eastAsia"/>
                <w:sz w:val="24"/>
                <w:szCs w:val="24"/>
              </w:rPr>
              <w:instrText>□</w:instrText>
            </w:r>
            <w:r>
              <w:rPr>
                <w:rFonts w:ascii="仿宋" w:eastAsia="仿宋" w:hAnsi="仿宋" w:hint="eastAsia"/>
                <w:sz w:val="24"/>
                <w:szCs w:val="24"/>
              </w:rPr>
              <w:instrText>,</w:instrText>
            </w:r>
            <w:r>
              <w:rPr>
                <w:rFonts w:ascii="仿宋" w:eastAsia="仿宋" w:hAnsi="仿宋" w:hint="eastAsia"/>
                <w:position w:val="2"/>
                <w:sz w:val="24"/>
                <w:szCs w:val="24"/>
              </w:rPr>
              <w:instrText>√</w:instrText>
            </w:r>
            <w:r>
              <w:rPr>
                <w:rFonts w:ascii="仿宋" w:eastAsia="仿宋" w:hAnsi="仿宋" w:hint="eastAsia"/>
                <w:sz w:val="24"/>
                <w:szCs w:val="24"/>
              </w:rPr>
              <w:instrText>)</w:instrText>
            </w:r>
            <w:r>
              <w:rPr>
                <w:rFonts w:ascii="仿宋" w:eastAsia="仿宋" w:hAnsi="仿宋"/>
                <w:sz w:val="24"/>
                <w:szCs w:val="24"/>
              </w:rPr>
              <w:fldChar w:fldCharType="end"/>
            </w:r>
            <w:r>
              <w:rPr>
                <w:rFonts w:ascii="仿宋" w:eastAsia="仿宋" w:hAnsi="仿宋" w:cs="微软雅黑" w:hint="eastAsia"/>
                <w:sz w:val="24"/>
                <w:szCs w:val="24"/>
              </w:rPr>
              <w:t>，如省部级淘汰是否申请转校级</w:t>
            </w:r>
            <w:r>
              <w:rPr>
                <w:rFonts w:ascii="仿宋" w:eastAsia="仿宋" w:hAnsi="仿宋"/>
                <w:sz w:val="24"/>
                <w:szCs w:val="24"/>
              </w:rPr>
              <w:fldChar w:fldCharType="begin"/>
            </w:r>
            <w:r>
              <w:rPr>
                <w:rFonts w:ascii="仿宋" w:eastAsia="仿宋" w:hAnsi="仿宋" w:hint="eastAsia"/>
                <w:sz w:val="24"/>
                <w:szCs w:val="24"/>
              </w:rPr>
              <w:instrText>eq \o\ac(</w:instrText>
            </w:r>
            <w:r>
              <w:rPr>
                <w:rFonts w:ascii="仿宋" w:eastAsia="仿宋" w:hAnsi="仿宋" w:hint="eastAsia"/>
                <w:position w:val="-3"/>
                <w:sz w:val="24"/>
                <w:szCs w:val="24"/>
              </w:rPr>
              <w:instrText>□</w:instrText>
            </w:r>
            <w:r>
              <w:rPr>
                <w:rFonts w:ascii="仿宋" w:eastAsia="仿宋" w:hAnsi="仿宋" w:hint="eastAsia"/>
                <w:sz w:val="24"/>
                <w:szCs w:val="24"/>
              </w:rPr>
              <w:instrText>,</w:instrText>
            </w:r>
            <w:r>
              <w:rPr>
                <w:rFonts w:ascii="仿宋" w:eastAsia="仿宋" w:hAnsi="仿宋" w:hint="eastAsia"/>
                <w:sz w:val="24"/>
                <w:szCs w:val="24"/>
              </w:rPr>
              <w:instrText>√</w:instrText>
            </w:r>
            <w:r>
              <w:rPr>
                <w:rFonts w:ascii="仿宋" w:eastAsia="仿宋" w:hAnsi="仿宋" w:hint="eastAsia"/>
                <w:sz w:val="24"/>
                <w:szCs w:val="24"/>
              </w:rPr>
              <w:instrText>)</w:instrText>
            </w:r>
            <w:r>
              <w:rPr>
                <w:rFonts w:ascii="仿宋" w:eastAsia="仿宋" w:hAnsi="仿宋"/>
                <w:sz w:val="24"/>
                <w:szCs w:val="24"/>
              </w:rPr>
              <w:fldChar w:fldCharType="end"/>
            </w:r>
          </w:p>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cs="微软雅黑" w:hint="eastAsia"/>
                <w:sz w:val="24"/>
                <w:szCs w:val="24"/>
              </w:rPr>
              <w:t>校级</w:t>
            </w:r>
            <w:r>
              <w:rPr>
                <w:rFonts w:ascii="仿宋" w:eastAsia="仿宋" w:hAnsi="仿宋"/>
                <w:sz w:val="24"/>
                <w:szCs w:val="24"/>
              </w:rPr>
              <w:t>□</w:t>
            </w:r>
          </w:p>
        </w:tc>
      </w:tr>
      <w:tr w:rsidR="0005291D">
        <w:trPr>
          <w:jc w:val="center"/>
        </w:trPr>
        <w:tc>
          <w:tcPr>
            <w:tcW w:w="3119"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项目主持人</w:t>
            </w:r>
          </w:p>
        </w:tc>
        <w:tc>
          <w:tcPr>
            <w:tcW w:w="6520"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易雨洋</w:t>
            </w:r>
          </w:p>
        </w:tc>
      </w:tr>
      <w:tr w:rsidR="0005291D">
        <w:trPr>
          <w:jc w:val="center"/>
        </w:trPr>
        <w:tc>
          <w:tcPr>
            <w:tcW w:w="3119"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学生所在学院</w:t>
            </w:r>
          </w:p>
        </w:tc>
        <w:tc>
          <w:tcPr>
            <w:tcW w:w="6520"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环境与资源学院</w:t>
            </w:r>
          </w:p>
        </w:tc>
      </w:tr>
      <w:tr w:rsidR="0005291D">
        <w:trPr>
          <w:jc w:val="center"/>
        </w:trPr>
        <w:tc>
          <w:tcPr>
            <w:tcW w:w="3119" w:type="dxa"/>
            <w:vAlign w:val="center"/>
          </w:tcPr>
          <w:p w:rsidR="0005291D" w:rsidRDefault="0005291D">
            <w:pPr>
              <w:spacing w:beforeLines="50" w:before="120" w:afterLines="50" w:after="120" w:line="360" w:lineRule="auto"/>
              <w:jc w:val="center"/>
              <w:textAlignment w:val="center"/>
              <w:rPr>
                <w:rFonts w:ascii="仿宋" w:eastAsia="仿宋" w:hAnsi="仿宋"/>
                <w:sz w:val="24"/>
                <w:szCs w:val="24"/>
              </w:rPr>
            </w:pPr>
            <w:bookmarkStart w:id="1" w:name="_GoBack"/>
            <w:bookmarkEnd w:id="1"/>
          </w:p>
        </w:tc>
        <w:tc>
          <w:tcPr>
            <w:tcW w:w="6520" w:type="dxa"/>
            <w:vAlign w:val="center"/>
          </w:tcPr>
          <w:p w:rsidR="0005291D" w:rsidRDefault="0005291D">
            <w:pPr>
              <w:spacing w:beforeLines="50" w:before="120" w:afterLines="50" w:after="120" w:line="360" w:lineRule="auto"/>
              <w:jc w:val="center"/>
              <w:textAlignment w:val="center"/>
              <w:rPr>
                <w:rFonts w:ascii="仿宋" w:eastAsia="仿宋" w:hAnsi="仿宋"/>
                <w:sz w:val="24"/>
                <w:szCs w:val="24"/>
              </w:rPr>
            </w:pPr>
          </w:p>
        </w:tc>
      </w:tr>
      <w:tr w:rsidR="0005291D">
        <w:trPr>
          <w:jc w:val="center"/>
        </w:trPr>
        <w:tc>
          <w:tcPr>
            <w:tcW w:w="3119" w:type="dxa"/>
            <w:vAlign w:val="center"/>
          </w:tcPr>
          <w:p w:rsidR="0005291D" w:rsidRDefault="0005291D">
            <w:pPr>
              <w:spacing w:beforeLines="50" w:before="120" w:afterLines="50" w:after="120" w:line="360" w:lineRule="auto"/>
              <w:jc w:val="center"/>
              <w:textAlignment w:val="center"/>
              <w:rPr>
                <w:rFonts w:ascii="仿宋" w:eastAsia="仿宋" w:hAnsi="仿宋"/>
                <w:sz w:val="24"/>
                <w:szCs w:val="24"/>
              </w:rPr>
            </w:pPr>
          </w:p>
        </w:tc>
        <w:tc>
          <w:tcPr>
            <w:tcW w:w="6520" w:type="dxa"/>
            <w:vAlign w:val="center"/>
          </w:tcPr>
          <w:p w:rsidR="0005291D" w:rsidRDefault="0005291D">
            <w:pPr>
              <w:spacing w:beforeLines="50" w:before="120" w:afterLines="50" w:after="120" w:line="360" w:lineRule="auto"/>
              <w:jc w:val="center"/>
              <w:textAlignment w:val="center"/>
              <w:rPr>
                <w:rFonts w:ascii="仿宋" w:eastAsia="仿宋" w:hAnsi="仿宋"/>
                <w:sz w:val="24"/>
                <w:szCs w:val="24"/>
              </w:rPr>
            </w:pPr>
          </w:p>
        </w:tc>
      </w:tr>
      <w:tr w:rsidR="0005291D">
        <w:trPr>
          <w:jc w:val="center"/>
        </w:trPr>
        <w:tc>
          <w:tcPr>
            <w:tcW w:w="3119"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指导老师</w:t>
            </w:r>
          </w:p>
        </w:tc>
        <w:tc>
          <w:tcPr>
            <w:tcW w:w="6520"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沈健</w:t>
            </w:r>
          </w:p>
        </w:tc>
      </w:tr>
      <w:tr w:rsidR="0005291D">
        <w:trPr>
          <w:jc w:val="center"/>
        </w:trPr>
        <w:tc>
          <w:tcPr>
            <w:tcW w:w="3119"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填表日期</w:t>
            </w:r>
          </w:p>
        </w:tc>
        <w:tc>
          <w:tcPr>
            <w:tcW w:w="6520" w:type="dxa"/>
            <w:vAlign w:val="center"/>
          </w:tcPr>
          <w:p w:rsidR="0005291D" w:rsidRDefault="0035243D">
            <w:pPr>
              <w:spacing w:beforeLines="50" w:before="120" w:afterLines="50" w:after="120" w:line="360" w:lineRule="auto"/>
              <w:jc w:val="center"/>
              <w:textAlignment w:val="center"/>
              <w:rPr>
                <w:rFonts w:ascii="仿宋" w:eastAsia="仿宋" w:hAnsi="仿宋"/>
                <w:sz w:val="24"/>
                <w:szCs w:val="24"/>
              </w:rPr>
            </w:pPr>
            <w:r>
              <w:rPr>
                <w:rFonts w:ascii="仿宋" w:eastAsia="仿宋" w:hAnsi="仿宋" w:hint="eastAsia"/>
                <w:sz w:val="24"/>
                <w:szCs w:val="24"/>
              </w:rPr>
              <w:t>2018</w:t>
            </w:r>
            <w:r>
              <w:rPr>
                <w:rFonts w:ascii="仿宋" w:eastAsia="仿宋" w:hAnsi="仿宋" w:hint="eastAsia"/>
                <w:sz w:val="24"/>
                <w:szCs w:val="24"/>
              </w:rPr>
              <w:t>年</w:t>
            </w:r>
            <w:r>
              <w:rPr>
                <w:rFonts w:ascii="仿宋" w:eastAsia="仿宋" w:hAnsi="仿宋" w:hint="eastAsia"/>
                <w:sz w:val="24"/>
                <w:szCs w:val="24"/>
              </w:rPr>
              <w:t>3</w:t>
            </w:r>
            <w:r>
              <w:rPr>
                <w:rFonts w:ascii="仿宋" w:eastAsia="仿宋" w:hAnsi="仿宋" w:hint="eastAsia"/>
                <w:sz w:val="24"/>
                <w:szCs w:val="24"/>
              </w:rPr>
              <w:t>月</w:t>
            </w:r>
            <w:r>
              <w:rPr>
                <w:rFonts w:ascii="仿宋" w:eastAsia="仿宋" w:hAnsi="仿宋" w:hint="eastAsia"/>
                <w:sz w:val="24"/>
                <w:szCs w:val="24"/>
              </w:rPr>
              <w:t>11</w:t>
            </w:r>
            <w:r>
              <w:rPr>
                <w:rFonts w:ascii="仿宋" w:eastAsia="仿宋" w:hAnsi="仿宋" w:hint="eastAsia"/>
                <w:sz w:val="24"/>
                <w:szCs w:val="24"/>
              </w:rPr>
              <w:t>日</w:t>
            </w:r>
          </w:p>
        </w:tc>
      </w:tr>
    </w:tbl>
    <w:p w:rsidR="0005291D" w:rsidRDefault="0005291D">
      <w:pPr>
        <w:spacing w:line="360" w:lineRule="auto"/>
        <w:rPr>
          <w:rFonts w:ascii="仿宋" w:eastAsia="仿宋" w:hAnsi="仿宋"/>
          <w:sz w:val="24"/>
          <w:szCs w:val="24"/>
        </w:rPr>
      </w:pPr>
    </w:p>
    <w:p w:rsidR="0005291D" w:rsidRDefault="0005291D">
      <w:pPr>
        <w:spacing w:line="360" w:lineRule="auto"/>
        <w:jc w:val="both"/>
        <w:rPr>
          <w:rFonts w:ascii="仿宋" w:eastAsia="仿宋" w:hAnsi="仿宋"/>
          <w:b/>
          <w:sz w:val="24"/>
          <w:szCs w:val="24"/>
        </w:rPr>
      </w:pPr>
    </w:p>
    <w:p w:rsidR="0005291D" w:rsidRDefault="0005291D">
      <w:pPr>
        <w:spacing w:line="360" w:lineRule="auto"/>
        <w:jc w:val="center"/>
        <w:rPr>
          <w:rFonts w:ascii="仿宋" w:eastAsia="仿宋" w:hAnsi="仿宋"/>
          <w:b/>
          <w:sz w:val="24"/>
          <w:szCs w:val="24"/>
        </w:rPr>
      </w:pPr>
    </w:p>
    <w:p w:rsidR="0005291D" w:rsidRDefault="0035243D">
      <w:pPr>
        <w:spacing w:line="360" w:lineRule="auto"/>
        <w:jc w:val="center"/>
        <w:rPr>
          <w:rFonts w:ascii="仿宋" w:eastAsia="仿宋" w:hAnsi="仿宋"/>
          <w:b/>
          <w:sz w:val="24"/>
          <w:szCs w:val="24"/>
        </w:rPr>
      </w:pPr>
      <w:r>
        <w:rPr>
          <w:rFonts w:ascii="仿宋" w:eastAsia="仿宋" w:hAnsi="仿宋" w:hint="eastAsia"/>
          <w:b/>
          <w:sz w:val="24"/>
          <w:szCs w:val="24"/>
        </w:rPr>
        <w:t>湘潭大学教务处制</w:t>
      </w:r>
    </w:p>
    <w:p w:rsidR="0005291D" w:rsidRDefault="0035243D">
      <w:pPr>
        <w:spacing w:line="360" w:lineRule="auto"/>
        <w:rPr>
          <w:rFonts w:ascii="仿宋" w:eastAsia="仿宋" w:hAnsi="仿宋"/>
          <w:sz w:val="24"/>
          <w:szCs w:val="24"/>
        </w:rPr>
      </w:pPr>
      <w:r>
        <w:rPr>
          <w:rFonts w:ascii="仿宋" w:eastAsia="仿宋" w:hAnsi="仿宋"/>
          <w:sz w:val="24"/>
          <w:szCs w:val="24"/>
        </w:rPr>
        <w:br w:type="page"/>
      </w:r>
    </w:p>
    <w:tbl>
      <w:tblPr>
        <w:tblpPr w:leftFromText="180" w:rightFromText="180" w:vertAnchor="text" w:tblpXSpec="center" w:tblpY="1"/>
        <w:tblOverlap w:val="neve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660"/>
        <w:gridCol w:w="820"/>
        <w:gridCol w:w="1127"/>
        <w:gridCol w:w="1080"/>
        <w:gridCol w:w="1484"/>
        <w:gridCol w:w="1582"/>
      </w:tblGrid>
      <w:tr w:rsidR="0005291D">
        <w:trPr>
          <w:trHeight w:val="630"/>
        </w:trPr>
        <w:tc>
          <w:tcPr>
            <w:tcW w:w="9366" w:type="dxa"/>
            <w:gridSpan w:val="7"/>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lastRenderedPageBreak/>
              <w:t>项目名称：精准调控滑动弧等离子体特性深度处理挥发性有机物</w:t>
            </w:r>
          </w:p>
        </w:tc>
      </w:tr>
      <w:tr w:rsidR="0005291D">
        <w:trPr>
          <w:trHeight w:hRule="exact" w:val="454"/>
        </w:trPr>
        <w:tc>
          <w:tcPr>
            <w:tcW w:w="1613"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学生姓名</w:t>
            </w:r>
          </w:p>
        </w:tc>
        <w:tc>
          <w:tcPr>
            <w:tcW w:w="166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学号</w:t>
            </w:r>
          </w:p>
        </w:tc>
        <w:tc>
          <w:tcPr>
            <w:tcW w:w="1947" w:type="dxa"/>
            <w:gridSpan w:val="2"/>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专业名称</w:t>
            </w:r>
          </w:p>
        </w:tc>
        <w:tc>
          <w:tcPr>
            <w:tcW w:w="108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性别</w:t>
            </w:r>
          </w:p>
        </w:tc>
        <w:tc>
          <w:tcPr>
            <w:tcW w:w="1484"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入学年份</w:t>
            </w:r>
          </w:p>
        </w:tc>
        <w:tc>
          <w:tcPr>
            <w:tcW w:w="1582"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签名</w:t>
            </w:r>
          </w:p>
        </w:tc>
      </w:tr>
      <w:tr w:rsidR="0005291D">
        <w:trPr>
          <w:trHeight w:hRule="exact" w:val="454"/>
        </w:trPr>
        <w:tc>
          <w:tcPr>
            <w:tcW w:w="1613"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易雨洋</w:t>
            </w:r>
          </w:p>
        </w:tc>
        <w:tc>
          <w:tcPr>
            <w:tcW w:w="166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2016820626</w:t>
            </w:r>
          </w:p>
        </w:tc>
        <w:tc>
          <w:tcPr>
            <w:tcW w:w="1947" w:type="dxa"/>
            <w:gridSpan w:val="2"/>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环境工程</w:t>
            </w:r>
          </w:p>
        </w:tc>
        <w:tc>
          <w:tcPr>
            <w:tcW w:w="108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2016</w:t>
            </w:r>
            <w:r>
              <w:rPr>
                <w:rFonts w:ascii="仿宋" w:eastAsia="仿宋" w:hAnsi="仿宋" w:hint="eastAsia"/>
                <w:sz w:val="24"/>
                <w:szCs w:val="24"/>
              </w:rPr>
              <w:t>年</w:t>
            </w:r>
          </w:p>
        </w:tc>
        <w:tc>
          <w:tcPr>
            <w:tcW w:w="1582" w:type="dxa"/>
            <w:vAlign w:val="center"/>
          </w:tcPr>
          <w:p w:rsidR="0005291D" w:rsidRDefault="0005291D">
            <w:pPr>
              <w:spacing w:beforeLines="50" w:before="120" w:afterLines="50" w:after="120" w:line="360" w:lineRule="auto"/>
              <w:jc w:val="center"/>
              <w:rPr>
                <w:rFonts w:ascii="仿宋" w:eastAsia="仿宋" w:hAnsi="仿宋"/>
                <w:sz w:val="24"/>
                <w:szCs w:val="24"/>
              </w:rPr>
            </w:pPr>
          </w:p>
        </w:tc>
      </w:tr>
      <w:tr w:rsidR="0005291D">
        <w:trPr>
          <w:trHeight w:hRule="exact" w:val="454"/>
        </w:trPr>
        <w:tc>
          <w:tcPr>
            <w:tcW w:w="1613"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郭知雨</w:t>
            </w:r>
          </w:p>
          <w:p w:rsidR="0005291D" w:rsidRDefault="0005291D">
            <w:pPr>
              <w:spacing w:beforeLines="50" w:before="120" w:afterLines="50" w:after="120" w:line="360" w:lineRule="auto"/>
              <w:jc w:val="center"/>
              <w:rPr>
                <w:rFonts w:ascii="仿宋" w:eastAsia="仿宋" w:hAnsi="仿宋"/>
                <w:sz w:val="24"/>
                <w:szCs w:val="24"/>
              </w:rPr>
            </w:pPr>
          </w:p>
        </w:tc>
        <w:tc>
          <w:tcPr>
            <w:tcW w:w="166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2016820604</w:t>
            </w:r>
          </w:p>
        </w:tc>
        <w:tc>
          <w:tcPr>
            <w:tcW w:w="1947" w:type="dxa"/>
            <w:gridSpan w:val="2"/>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环境工程</w:t>
            </w:r>
          </w:p>
        </w:tc>
        <w:tc>
          <w:tcPr>
            <w:tcW w:w="108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2016</w:t>
            </w:r>
            <w:r>
              <w:rPr>
                <w:rFonts w:ascii="仿宋" w:eastAsia="仿宋" w:hAnsi="仿宋" w:hint="eastAsia"/>
                <w:sz w:val="24"/>
                <w:szCs w:val="24"/>
              </w:rPr>
              <w:t>年</w:t>
            </w:r>
          </w:p>
        </w:tc>
        <w:tc>
          <w:tcPr>
            <w:tcW w:w="1582" w:type="dxa"/>
            <w:vAlign w:val="center"/>
          </w:tcPr>
          <w:p w:rsidR="0005291D" w:rsidRDefault="0005291D">
            <w:pPr>
              <w:spacing w:beforeLines="50" w:before="120" w:afterLines="50" w:after="120" w:line="360" w:lineRule="auto"/>
              <w:jc w:val="center"/>
              <w:rPr>
                <w:rFonts w:ascii="仿宋" w:eastAsia="仿宋" w:hAnsi="仿宋"/>
                <w:sz w:val="24"/>
                <w:szCs w:val="24"/>
              </w:rPr>
            </w:pPr>
          </w:p>
        </w:tc>
      </w:tr>
      <w:tr w:rsidR="0005291D">
        <w:trPr>
          <w:trHeight w:hRule="exact" w:val="454"/>
        </w:trPr>
        <w:tc>
          <w:tcPr>
            <w:tcW w:w="1613"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洪诗瑗</w:t>
            </w:r>
          </w:p>
        </w:tc>
        <w:tc>
          <w:tcPr>
            <w:tcW w:w="166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2016820633</w:t>
            </w:r>
          </w:p>
        </w:tc>
        <w:tc>
          <w:tcPr>
            <w:tcW w:w="1947" w:type="dxa"/>
            <w:gridSpan w:val="2"/>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环境工程</w:t>
            </w:r>
          </w:p>
        </w:tc>
        <w:tc>
          <w:tcPr>
            <w:tcW w:w="108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2016</w:t>
            </w:r>
            <w:r>
              <w:rPr>
                <w:rFonts w:ascii="仿宋" w:eastAsia="仿宋" w:hAnsi="仿宋" w:hint="eastAsia"/>
                <w:sz w:val="24"/>
                <w:szCs w:val="24"/>
              </w:rPr>
              <w:t>年</w:t>
            </w:r>
          </w:p>
        </w:tc>
        <w:tc>
          <w:tcPr>
            <w:tcW w:w="1582" w:type="dxa"/>
            <w:vAlign w:val="center"/>
          </w:tcPr>
          <w:p w:rsidR="0005291D" w:rsidRDefault="0005291D">
            <w:pPr>
              <w:spacing w:beforeLines="50" w:before="120" w:afterLines="50" w:after="120" w:line="360" w:lineRule="auto"/>
              <w:jc w:val="center"/>
              <w:rPr>
                <w:rFonts w:ascii="仿宋" w:eastAsia="仿宋" w:hAnsi="仿宋"/>
                <w:sz w:val="24"/>
                <w:szCs w:val="24"/>
              </w:rPr>
            </w:pPr>
          </w:p>
        </w:tc>
      </w:tr>
      <w:tr w:rsidR="0005291D">
        <w:trPr>
          <w:trHeight w:hRule="exact" w:val="454"/>
        </w:trPr>
        <w:tc>
          <w:tcPr>
            <w:tcW w:w="1613"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侯志如</w:t>
            </w:r>
          </w:p>
        </w:tc>
        <w:tc>
          <w:tcPr>
            <w:tcW w:w="166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2016820609</w:t>
            </w:r>
          </w:p>
        </w:tc>
        <w:tc>
          <w:tcPr>
            <w:tcW w:w="1947" w:type="dxa"/>
            <w:gridSpan w:val="2"/>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环境工程</w:t>
            </w:r>
          </w:p>
        </w:tc>
        <w:tc>
          <w:tcPr>
            <w:tcW w:w="108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2016</w:t>
            </w:r>
            <w:r>
              <w:rPr>
                <w:rFonts w:ascii="仿宋" w:eastAsia="仿宋" w:hAnsi="仿宋" w:hint="eastAsia"/>
                <w:sz w:val="24"/>
                <w:szCs w:val="24"/>
              </w:rPr>
              <w:t>年</w:t>
            </w:r>
          </w:p>
        </w:tc>
        <w:tc>
          <w:tcPr>
            <w:tcW w:w="1582" w:type="dxa"/>
            <w:vAlign w:val="center"/>
          </w:tcPr>
          <w:p w:rsidR="0005291D" w:rsidRDefault="0005291D">
            <w:pPr>
              <w:spacing w:beforeLines="50" w:before="120" w:afterLines="50" w:after="120" w:line="360" w:lineRule="auto"/>
              <w:jc w:val="center"/>
              <w:rPr>
                <w:rFonts w:ascii="仿宋" w:eastAsia="仿宋" w:hAnsi="仿宋"/>
                <w:sz w:val="24"/>
                <w:szCs w:val="24"/>
              </w:rPr>
            </w:pPr>
          </w:p>
        </w:tc>
      </w:tr>
      <w:tr w:rsidR="0005291D">
        <w:trPr>
          <w:trHeight w:hRule="exact" w:val="454"/>
        </w:trPr>
        <w:tc>
          <w:tcPr>
            <w:tcW w:w="1613"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左艺</w:t>
            </w:r>
          </w:p>
        </w:tc>
        <w:tc>
          <w:tcPr>
            <w:tcW w:w="166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2016820621</w:t>
            </w:r>
          </w:p>
        </w:tc>
        <w:tc>
          <w:tcPr>
            <w:tcW w:w="1947" w:type="dxa"/>
            <w:gridSpan w:val="2"/>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环境工程</w:t>
            </w:r>
          </w:p>
        </w:tc>
        <w:tc>
          <w:tcPr>
            <w:tcW w:w="108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2016</w:t>
            </w:r>
            <w:r>
              <w:rPr>
                <w:rFonts w:ascii="仿宋" w:eastAsia="仿宋" w:hAnsi="仿宋" w:hint="eastAsia"/>
                <w:sz w:val="24"/>
                <w:szCs w:val="24"/>
              </w:rPr>
              <w:t>年</w:t>
            </w:r>
          </w:p>
        </w:tc>
        <w:tc>
          <w:tcPr>
            <w:tcW w:w="1582" w:type="dxa"/>
            <w:vAlign w:val="center"/>
          </w:tcPr>
          <w:p w:rsidR="0005291D" w:rsidRDefault="0005291D">
            <w:pPr>
              <w:spacing w:beforeLines="50" w:before="120" w:afterLines="50" w:after="120" w:line="360" w:lineRule="auto"/>
              <w:jc w:val="center"/>
              <w:rPr>
                <w:rFonts w:ascii="仿宋" w:eastAsia="仿宋" w:hAnsi="仿宋"/>
                <w:sz w:val="24"/>
                <w:szCs w:val="24"/>
              </w:rPr>
            </w:pPr>
          </w:p>
        </w:tc>
      </w:tr>
      <w:tr w:rsidR="0005291D">
        <w:trPr>
          <w:trHeight w:val="585"/>
        </w:trPr>
        <w:tc>
          <w:tcPr>
            <w:tcW w:w="1613" w:type="dxa"/>
            <w:vAlign w:val="center"/>
          </w:tcPr>
          <w:p w:rsidR="0005291D" w:rsidRDefault="0035243D">
            <w:pPr>
              <w:widowControl w:val="0"/>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指导教师</w:t>
            </w:r>
          </w:p>
        </w:tc>
        <w:tc>
          <w:tcPr>
            <w:tcW w:w="1660" w:type="dxa"/>
            <w:vAlign w:val="center"/>
          </w:tcPr>
          <w:p w:rsidR="0005291D" w:rsidRDefault="0035243D">
            <w:pPr>
              <w:widowControl w:val="0"/>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沈健</w:t>
            </w:r>
          </w:p>
        </w:tc>
        <w:tc>
          <w:tcPr>
            <w:tcW w:w="820"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职称</w:t>
            </w:r>
          </w:p>
        </w:tc>
        <w:tc>
          <w:tcPr>
            <w:tcW w:w="1127"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讲师</w:t>
            </w:r>
          </w:p>
        </w:tc>
        <w:tc>
          <w:tcPr>
            <w:tcW w:w="2564" w:type="dxa"/>
            <w:gridSpan w:val="2"/>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项目所属一级学科</w:t>
            </w:r>
          </w:p>
        </w:tc>
        <w:tc>
          <w:tcPr>
            <w:tcW w:w="1582" w:type="dxa"/>
            <w:vAlign w:val="center"/>
          </w:tcPr>
          <w:p w:rsidR="0005291D" w:rsidRDefault="0035243D">
            <w:pPr>
              <w:spacing w:beforeLines="50" w:before="120" w:afterLines="50" w:after="120" w:line="360" w:lineRule="auto"/>
              <w:jc w:val="center"/>
              <w:rPr>
                <w:rFonts w:ascii="仿宋" w:eastAsia="仿宋" w:hAnsi="仿宋"/>
                <w:sz w:val="24"/>
                <w:szCs w:val="24"/>
              </w:rPr>
            </w:pPr>
            <w:r>
              <w:rPr>
                <w:rFonts w:ascii="仿宋" w:eastAsia="仿宋" w:hAnsi="仿宋" w:hint="eastAsia"/>
                <w:sz w:val="24"/>
                <w:szCs w:val="24"/>
              </w:rPr>
              <w:t>610</w:t>
            </w:r>
          </w:p>
        </w:tc>
      </w:tr>
      <w:tr w:rsidR="0005291D">
        <w:trPr>
          <w:trHeight w:val="890"/>
        </w:trPr>
        <w:tc>
          <w:tcPr>
            <w:tcW w:w="9366" w:type="dxa"/>
            <w:gridSpan w:val="7"/>
          </w:tcPr>
          <w:p w:rsidR="0005291D" w:rsidRDefault="0035243D">
            <w:pPr>
              <w:spacing w:beforeLines="50" w:before="120" w:afterLines="50" w:after="120" w:line="360" w:lineRule="auto"/>
              <w:rPr>
                <w:rFonts w:ascii="仿宋" w:eastAsia="仿宋" w:hAnsi="仿宋"/>
                <w:b/>
                <w:sz w:val="24"/>
                <w:szCs w:val="24"/>
              </w:rPr>
            </w:pPr>
            <w:r>
              <w:rPr>
                <w:rFonts w:ascii="仿宋" w:eastAsia="仿宋" w:hAnsi="仿宋" w:hint="eastAsia"/>
                <w:b/>
                <w:sz w:val="24"/>
                <w:szCs w:val="24"/>
              </w:rPr>
              <w:t>学生曾经参与科研或创业的情况</w:t>
            </w:r>
          </w:p>
          <w:p w:rsidR="0005291D" w:rsidRDefault="0035243D">
            <w:pPr>
              <w:pStyle w:val="ListParagraph8937bb6b-1432-4737-857a-2937938088f1"/>
              <w:numPr>
                <w:ilvl w:val="0"/>
                <w:numId w:val="1"/>
              </w:numPr>
              <w:spacing w:beforeLines="50" w:before="120" w:afterLines="50" w:after="120" w:line="360" w:lineRule="auto"/>
              <w:ind w:left="0" w:firstLineChars="0" w:hanging="357"/>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组员易雨洋，洪诗瑗，侯志如，郭知雨参加由环境与资源学院举办的全国大学生节能减排社会实践与科技竞赛，掌握</w:t>
            </w:r>
            <w:r>
              <w:rPr>
                <w:rFonts w:ascii="仿宋" w:eastAsia="仿宋" w:hAnsi="仿宋" w:hint="eastAsia"/>
                <w:sz w:val="24"/>
                <w:szCs w:val="24"/>
              </w:rPr>
              <w:t>Auto CAD Plant3d,3dmax,lumion,Aspen</w:t>
            </w:r>
            <w:r>
              <w:rPr>
                <w:rFonts w:ascii="仿宋" w:eastAsia="仿宋" w:hAnsi="仿宋" w:hint="eastAsia"/>
                <w:sz w:val="24"/>
                <w:szCs w:val="24"/>
              </w:rPr>
              <w:t>以及会声会影等软件的使用。</w:t>
            </w:r>
          </w:p>
          <w:p w:rsidR="0005291D" w:rsidRDefault="0035243D">
            <w:pPr>
              <w:pStyle w:val="ListParagraph8937bb6b-1432-4737-857a-2937938088f1"/>
              <w:numPr>
                <w:ilvl w:val="0"/>
                <w:numId w:val="1"/>
              </w:numPr>
              <w:spacing w:beforeLines="50" w:before="120" w:afterLines="50" w:after="120" w:line="360" w:lineRule="auto"/>
              <w:ind w:left="0" w:firstLineChars="0" w:hanging="357"/>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组员易雨洋，郭知雨，洪诗瑗，侯志如参加“挑战杯”全国大学生化工设计大赛，熟练掌握</w:t>
            </w:r>
            <w:r>
              <w:rPr>
                <w:rFonts w:ascii="仿宋" w:eastAsia="仿宋" w:hAnsi="仿宋" w:hint="eastAsia"/>
                <w:sz w:val="24"/>
                <w:szCs w:val="24"/>
              </w:rPr>
              <w:t>Aspen</w:t>
            </w:r>
            <w:r>
              <w:rPr>
                <w:rFonts w:ascii="仿宋" w:eastAsia="仿宋" w:hAnsi="仿宋" w:hint="eastAsia"/>
                <w:sz w:val="24"/>
                <w:szCs w:val="24"/>
              </w:rPr>
              <w:t>，</w:t>
            </w:r>
            <w:r>
              <w:rPr>
                <w:rFonts w:ascii="仿宋" w:eastAsia="仿宋" w:hAnsi="仿宋" w:hint="eastAsia"/>
                <w:sz w:val="24"/>
                <w:szCs w:val="24"/>
              </w:rPr>
              <w:t>PS,</w:t>
            </w:r>
            <w:r>
              <w:rPr>
                <w:rFonts w:ascii="仿宋" w:eastAsia="仿宋" w:hAnsi="仿宋"/>
                <w:sz w:val="24"/>
                <w:szCs w:val="24"/>
              </w:rPr>
              <w:t xml:space="preserve"> Microsoft Offic</w:t>
            </w:r>
            <w:r>
              <w:rPr>
                <w:rFonts w:ascii="仿宋" w:eastAsia="仿宋" w:hAnsi="仿宋" w:hint="eastAsia"/>
                <w:sz w:val="24"/>
                <w:szCs w:val="24"/>
              </w:rPr>
              <w:t>e</w:t>
            </w:r>
            <w:r>
              <w:rPr>
                <w:rFonts w:ascii="仿宋" w:eastAsia="仿宋" w:hAnsi="仿宋" w:hint="eastAsia"/>
                <w:sz w:val="24"/>
                <w:szCs w:val="24"/>
              </w:rPr>
              <w:t>等软件的使用，帮助分析实验数据。</w:t>
            </w:r>
          </w:p>
          <w:p w:rsidR="0005291D" w:rsidRDefault="0035243D">
            <w:pPr>
              <w:pStyle w:val="ListParagraph8937bb6b-1432-4737-857a-2937938088f1"/>
              <w:numPr>
                <w:ilvl w:val="0"/>
                <w:numId w:val="1"/>
              </w:numPr>
              <w:spacing w:beforeLines="50" w:before="120" w:afterLines="50" w:after="120" w:line="360" w:lineRule="auto"/>
              <w:ind w:left="0" w:firstLineChars="0" w:hanging="357"/>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熟练操作高效液相色谱，气相色谱，扫描电子显微镜，投射电子显微镜，</w:t>
            </w:r>
            <w:r>
              <w:rPr>
                <w:rFonts w:ascii="仿宋" w:eastAsia="仿宋" w:hAnsi="仿宋" w:hint="eastAsia"/>
                <w:sz w:val="24"/>
                <w:szCs w:val="24"/>
              </w:rPr>
              <w:t>X-</w:t>
            </w:r>
            <w:r>
              <w:rPr>
                <w:rFonts w:ascii="仿宋" w:eastAsia="仿宋" w:hAnsi="仿宋" w:hint="eastAsia"/>
                <w:sz w:val="24"/>
                <w:szCs w:val="24"/>
              </w:rPr>
              <w:t>射线衍射光谱等仪器，并能对相关数据进行分析。</w:t>
            </w:r>
          </w:p>
        </w:tc>
      </w:tr>
      <w:tr w:rsidR="0005291D">
        <w:trPr>
          <w:trHeight w:val="1932"/>
        </w:trPr>
        <w:tc>
          <w:tcPr>
            <w:tcW w:w="9366" w:type="dxa"/>
            <w:gridSpan w:val="7"/>
          </w:tcPr>
          <w:p w:rsidR="0005291D" w:rsidRDefault="0035243D">
            <w:pPr>
              <w:spacing w:beforeLines="50" w:before="120" w:afterLines="50" w:after="120" w:line="360" w:lineRule="auto"/>
              <w:rPr>
                <w:rFonts w:ascii="仿宋" w:eastAsia="仿宋" w:hAnsi="仿宋"/>
                <w:b/>
                <w:sz w:val="24"/>
                <w:szCs w:val="24"/>
              </w:rPr>
            </w:pPr>
            <w:r>
              <w:rPr>
                <w:rFonts w:ascii="仿宋" w:eastAsia="仿宋" w:hAnsi="仿宋" w:hint="eastAsia"/>
                <w:b/>
                <w:sz w:val="24"/>
                <w:szCs w:val="24"/>
              </w:rPr>
              <w:t>指导教师承担科研课题情况</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合金相分离强化非均相电</w:t>
            </w:r>
            <w:r>
              <w:rPr>
                <w:rFonts w:ascii="仿宋" w:eastAsia="仿宋" w:hAnsi="仿宋"/>
                <w:sz w:val="24"/>
                <w:szCs w:val="24"/>
              </w:rPr>
              <w:t>-Fenton</w:t>
            </w:r>
            <w:r>
              <w:rPr>
                <w:rFonts w:ascii="仿宋" w:eastAsia="仿宋" w:hAnsi="仿宋"/>
                <w:sz w:val="24"/>
                <w:szCs w:val="24"/>
              </w:rPr>
              <w:t>过程深度降解难降解有机物，国家自然科学基金青年科学基金项目，</w:t>
            </w:r>
            <w:r>
              <w:rPr>
                <w:rFonts w:ascii="仿宋" w:eastAsia="仿宋" w:hAnsi="仿宋"/>
                <w:sz w:val="24"/>
                <w:szCs w:val="24"/>
              </w:rPr>
              <w:t>2018.01-2020.12</w:t>
            </w:r>
            <w:r>
              <w:rPr>
                <w:rFonts w:ascii="仿宋" w:eastAsia="仿宋" w:hAnsi="仿宋"/>
                <w:sz w:val="24"/>
                <w:szCs w:val="24"/>
              </w:rPr>
              <w:t>，主持</w:t>
            </w:r>
          </w:p>
          <w:p w:rsidR="0005291D" w:rsidRDefault="0005291D">
            <w:pPr>
              <w:spacing w:beforeLines="50" w:before="120" w:afterLines="50" w:after="120" w:line="360" w:lineRule="auto"/>
              <w:ind w:firstLineChars="200" w:firstLine="480"/>
              <w:rPr>
                <w:rFonts w:ascii="仿宋" w:eastAsia="仿宋" w:hAnsi="仿宋"/>
                <w:sz w:val="24"/>
                <w:szCs w:val="24"/>
              </w:rPr>
            </w:pPr>
          </w:p>
        </w:tc>
      </w:tr>
      <w:tr w:rsidR="0005291D">
        <w:trPr>
          <w:trHeight w:val="890"/>
        </w:trPr>
        <w:tc>
          <w:tcPr>
            <w:tcW w:w="9366" w:type="dxa"/>
            <w:gridSpan w:val="7"/>
          </w:tcPr>
          <w:p w:rsidR="0005291D" w:rsidRDefault="0035243D">
            <w:pPr>
              <w:spacing w:beforeLines="50" w:before="120" w:afterLines="50" w:after="120" w:line="360" w:lineRule="auto"/>
              <w:rPr>
                <w:rFonts w:ascii="仿宋" w:eastAsia="仿宋" w:hAnsi="仿宋"/>
                <w:b/>
                <w:bCs/>
                <w:sz w:val="24"/>
                <w:szCs w:val="24"/>
              </w:rPr>
            </w:pPr>
            <w:r>
              <w:rPr>
                <w:rFonts w:ascii="仿宋" w:eastAsia="仿宋" w:hAnsi="仿宋" w:hint="eastAsia"/>
                <w:b/>
                <w:bCs/>
                <w:sz w:val="24"/>
                <w:szCs w:val="24"/>
              </w:rPr>
              <w:t>项目研究和实验的目的</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项目拟利用基于低温等离子体的滑动弧光放电技术深度降解挥发性有机物。但需阐明</w:t>
            </w:r>
            <w:r>
              <w:rPr>
                <w:rFonts w:ascii="仿宋" w:eastAsia="仿宋" w:hAnsi="仿宋"/>
                <w:sz w:val="24"/>
                <w:szCs w:val="24"/>
              </w:rPr>
              <w:t>VOCs</w:t>
            </w:r>
            <w:r>
              <w:rPr>
                <w:rFonts w:ascii="仿宋" w:eastAsia="仿宋" w:hAnsi="仿宋"/>
                <w:sz w:val="24"/>
                <w:szCs w:val="24"/>
              </w:rPr>
              <w:t>降解机制。所以，本项目拟搭建滑动弧光放电装置，重点研究等离子体调控活性自由基产生过程控制及机制，挥发性有机物降解机制，无机废气与挥发性有机物</w:t>
            </w:r>
            <w:r>
              <w:rPr>
                <w:rFonts w:ascii="仿宋" w:eastAsia="仿宋" w:hAnsi="仿宋" w:hint="eastAsia"/>
                <w:sz w:val="24"/>
                <w:szCs w:val="24"/>
              </w:rPr>
              <w:t>协同</w:t>
            </w:r>
            <w:r>
              <w:rPr>
                <w:rFonts w:ascii="仿宋" w:eastAsia="仿宋" w:hAnsi="仿宋" w:hint="eastAsia"/>
                <w:sz w:val="24"/>
                <w:szCs w:val="24"/>
              </w:rPr>
              <w:t>-</w:t>
            </w:r>
            <w:r>
              <w:rPr>
                <w:rFonts w:ascii="仿宋" w:eastAsia="仿宋" w:hAnsi="仿宋" w:hint="eastAsia"/>
                <w:sz w:val="24"/>
                <w:szCs w:val="24"/>
              </w:rPr>
              <w:t>抑制</w:t>
            </w:r>
            <w:r>
              <w:rPr>
                <w:rFonts w:ascii="仿宋" w:eastAsia="仿宋" w:hAnsi="仿宋"/>
                <w:sz w:val="24"/>
                <w:szCs w:val="24"/>
              </w:rPr>
              <w:t>机制，构建自由基</w:t>
            </w:r>
            <w:r>
              <w:rPr>
                <w:rFonts w:ascii="仿宋" w:eastAsia="仿宋" w:hAnsi="仿宋"/>
                <w:sz w:val="24"/>
                <w:szCs w:val="24"/>
              </w:rPr>
              <w:t>-</w:t>
            </w:r>
            <w:r>
              <w:rPr>
                <w:rFonts w:ascii="仿宋" w:eastAsia="仿宋" w:hAnsi="仿宋"/>
                <w:sz w:val="24"/>
                <w:szCs w:val="24"/>
              </w:rPr>
              <w:t>污染物间构效关系，为开发和优化工业烟气深度</w:t>
            </w:r>
            <w:r>
              <w:rPr>
                <w:rFonts w:ascii="仿宋" w:eastAsia="仿宋" w:hAnsi="仿宋" w:hint="eastAsia"/>
                <w:sz w:val="24"/>
                <w:szCs w:val="24"/>
              </w:rPr>
              <w:t>净化</w:t>
            </w:r>
            <w:r>
              <w:rPr>
                <w:rFonts w:ascii="仿宋" w:eastAsia="仿宋" w:hAnsi="仿宋"/>
                <w:sz w:val="24"/>
                <w:szCs w:val="24"/>
              </w:rPr>
              <w:t>工艺所需的新技术提供新思路。</w:t>
            </w:r>
          </w:p>
          <w:p w:rsidR="0005291D" w:rsidRDefault="0035243D">
            <w:pPr>
              <w:spacing w:beforeLines="50" w:before="120" w:afterLines="50" w:after="120" w:line="360" w:lineRule="auto"/>
              <w:rPr>
                <w:rFonts w:ascii="仿宋" w:eastAsia="仿宋" w:hAnsi="仿宋"/>
                <w:b/>
                <w:bCs/>
                <w:sz w:val="24"/>
                <w:szCs w:val="24"/>
              </w:rPr>
            </w:pPr>
            <w:r>
              <w:rPr>
                <w:rFonts w:ascii="仿宋" w:eastAsia="仿宋" w:hAnsi="仿宋" w:hint="eastAsia"/>
                <w:b/>
                <w:bCs/>
                <w:sz w:val="24"/>
                <w:szCs w:val="24"/>
              </w:rPr>
              <w:lastRenderedPageBreak/>
              <w:t>实验内容</w:t>
            </w:r>
          </w:p>
          <w:p w:rsidR="0005291D" w:rsidRDefault="0035243D">
            <w:p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研究内容包括：</w:t>
            </w:r>
          </w:p>
          <w:p w:rsidR="0005291D" w:rsidRDefault="0035243D">
            <w:p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1</w:t>
            </w:r>
            <w:r>
              <w:rPr>
                <w:rFonts w:ascii="仿宋" w:eastAsia="仿宋" w:hAnsi="仿宋"/>
                <w:bCs/>
                <w:sz w:val="24"/>
                <w:szCs w:val="24"/>
              </w:rPr>
              <w:t>）精准控制滑动弧等离子体特性</w:t>
            </w:r>
          </w:p>
          <w:p w:rsidR="0005291D" w:rsidRDefault="0035243D">
            <w:pPr>
              <w:numPr>
                <w:ilvl w:val="0"/>
                <w:numId w:val="2"/>
              </w:numPr>
              <w:spacing w:beforeLines="50" w:before="120" w:afterLines="50" w:after="120" w:line="360" w:lineRule="auto"/>
              <w:ind w:firstLineChars="200" w:firstLine="480"/>
              <w:rPr>
                <w:rFonts w:ascii="仿宋" w:eastAsia="仿宋" w:hAnsi="仿宋"/>
                <w:bCs/>
                <w:sz w:val="24"/>
                <w:szCs w:val="24"/>
              </w:rPr>
            </w:pPr>
            <w:r>
              <w:rPr>
                <w:rFonts w:ascii="仿宋" w:eastAsia="仿宋" w:hAnsi="仿宋" w:hint="eastAsia"/>
                <w:bCs/>
                <w:sz w:val="24"/>
                <w:szCs w:val="24"/>
              </w:rPr>
              <w:t>拟</w:t>
            </w:r>
            <w:r>
              <w:rPr>
                <w:rFonts w:ascii="仿宋" w:eastAsia="仿宋" w:hAnsi="仿宋"/>
                <w:bCs/>
                <w:sz w:val="24"/>
                <w:szCs w:val="24"/>
              </w:rPr>
              <w:t>优化滑动弧放电装置电极结构；</w:t>
            </w:r>
          </w:p>
          <w:p w:rsidR="0005291D" w:rsidRDefault="0035243D">
            <w:pPr>
              <w:numPr>
                <w:ilvl w:val="0"/>
                <w:numId w:val="2"/>
              </w:num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调控电压、电流、载气种类、载气流速等因素</w:t>
            </w:r>
            <w:r>
              <w:rPr>
                <w:rFonts w:ascii="仿宋" w:eastAsia="仿宋" w:hAnsi="仿宋"/>
                <w:bCs/>
                <w:sz w:val="24"/>
                <w:szCs w:val="24"/>
              </w:rPr>
              <w:t>,</w:t>
            </w:r>
            <w:r>
              <w:rPr>
                <w:rFonts w:ascii="仿宋" w:eastAsia="仿宋" w:hAnsi="仿宋"/>
                <w:bCs/>
                <w:sz w:val="24"/>
                <w:szCs w:val="24"/>
              </w:rPr>
              <w:t>研究等离子体特性（稳定性、能量、弧长等）。</w:t>
            </w:r>
          </w:p>
          <w:p w:rsidR="0005291D" w:rsidRDefault="0035243D">
            <w:p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2</w:t>
            </w:r>
            <w:r>
              <w:rPr>
                <w:rFonts w:ascii="仿宋" w:eastAsia="仿宋" w:hAnsi="仿宋"/>
                <w:bCs/>
                <w:sz w:val="24"/>
                <w:szCs w:val="24"/>
              </w:rPr>
              <w:t>）精准控制滑动弧等离子体激发载气所产生活性粒子过程与机制</w:t>
            </w:r>
          </w:p>
          <w:p w:rsidR="0005291D" w:rsidRDefault="0035243D">
            <w:pPr>
              <w:numPr>
                <w:ilvl w:val="0"/>
                <w:numId w:val="2"/>
              </w:num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基于研究内容</w:t>
            </w:r>
            <w:r>
              <w:rPr>
                <w:rFonts w:ascii="仿宋" w:eastAsia="仿宋" w:hAnsi="仿宋"/>
                <w:bCs/>
                <w:sz w:val="24"/>
                <w:szCs w:val="24"/>
              </w:rPr>
              <w:t>1</w:t>
            </w:r>
            <w:r>
              <w:rPr>
                <w:rFonts w:ascii="仿宋" w:eastAsia="仿宋" w:hAnsi="仿宋"/>
                <w:bCs/>
                <w:sz w:val="24"/>
                <w:szCs w:val="24"/>
              </w:rPr>
              <w:t>），采用最优化等离子体特性；</w:t>
            </w:r>
          </w:p>
          <w:p w:rsidR="0005291D" w:rsidRDefault="0035243D">
            <w:pPr>
              <w:numPr>
                <w:ilvl w:val="0"/>
                <w:numId w:val="2"/>
              </w:num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调控电压、电流、载气种类、载气流速、污染物结构、水气比等参数，精准控制滑动弧等离子体激发载气所产生活性粒子种类。</w:t>
            </w:r>
          </w:p>
          <w:p w:rsidR="0005291D" w:rsidRDefault="0035243D">
            <w:p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3</w:t>
            </w:r>
            <w:r>
              <w:rPr>
                <w:rFonts w:ascii="仿宋" w:eastAsia="仿宋" w:hAnsi="仿宋"/>
                <w:bCs/>
                <w:sz w:val="24"/>
                <w:szCs w:val="24"/>
              </w:rPr>
              <w:t>）挥发性有机物降解机制</w:t>
            </w:r>
          </w:p>
          <w:p w:rsidR="0005291D" w:rsidRDefault="0035243D">
            <w:pPr>
              <w:numPr>
                <w:ilvl w:val="0"/>
                <w:numId w:val="2"/>
              </w:num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基于研究内容</w:t>
            </w:r>
            <w:r>
              <w:rPr>
                <w:rFonts w:ascii="仿宋" w:eastAsia="仿宋" w:hAnsi="仿宋"/>
                <w:bCs/>
                <w:sz w:val="24"/>
                <w:szCs w:val="24"/>
              </w:rPr>
              <w:t>2</w:t>
            </w:r>
            <w:r>
              <w:rPr>
                <w:rFonts w:ascii="仿宋" w:eastAsia="仿宋" w:hAnsi="仿宋"/>
                <w:bCs/>
                <w:sz w:val="24"/>
                <w:szCs w:val="24"/>
              </w:rPr>
              <w:t>），通过调控载气种类、载气流速、污染物结构、水气比等因素，构建挥发性有机物结构与活性粒子对应关系。</w:t>
            </w:r>
          </w:p>
          <w:p w:rsidR="0005291D" w:rsidRDefault="0035243D">
            <w:p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4</w:t>
            </w:r>
            <w:r>
              <w:rPr>
                <w:rFonts w:ascii="仿宋" w:eastAsia="仿宋" w:hAnsi="仿宋"/>
                <w:bCs/>
                <w:sz w:val="24"/>
                <w:szCs w:val="24"/>
              </w:rPr>
              <w:t>）无机废气与挥发性有机物协同</w:t>
            </w:r>
            <w:r>
              <w:rPr>
                <w:rFonts w:ascii="仿宋" w:eastAsia="仿宋" w:hAnsi="仿宋"/>
                <w:bCs/>
                <w:sz w:val="24"/>
                <w:szCs w:val="24"/>
              </w:rPr>
              <w:t>-</w:t>
            </w:r>
            <w:r>
              <w:rPr>
                <w:rFonts w:ascii="仿宋" w:eastAsia="仿宋" w:hAnsi="仿宋"/>
                <w:bCs/>
                <w:sz w:val="24"/>
                <w:szCs w:val="24"/>
              </w:rPr>
              <w:t>抑制降解机制</w:t>
            </w:r>
          </w:p>
          <w:p w:rsidR="0005291D" w:rsidRDefault="0035243D">
            <w:pPr>
              <w:numPr>
                <w:ilvl w:val="0"/>
                <w:numId w:val="2"/>
              </w:num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基于研究内容</w:t>
            </w:r>
            <w:r>
              <w:rPr>
                <w:rFonts w:ascii="仿宋" w:eastAsia="仿宋" w:hAnsi="仿宋"/>
                <w:bCs/>
                <w:sz w:val="24"/>
                <w:szCs w:val="24"/>
              </w:rPr>
              <w:t>3</w:t>
            </w:r>
            <w:r>
              <w:rPr>
                <w:rFonts w:ascii="仿宋" w:eastAsia="仿宋" w:hAnsi="仿宋"/>
                <w:bCs/>
                <w:sz w:val="24"/>
                <w:szCs w:val="24"/>
              </w:rPr>
              <w:t>），通过调控载气种类、载气流速、污染物结构、水气比、无机废气种类，气体比例等因素，构建污染物与活性粒子对应关系，阐明无机废气与挥发性有机物协同</w:t>
            </w:r>
            <w:r>
              <w:rPr>
                <w:rFonts w:ascii="仿宋" w:eastAsia="仿宋" w:hAnsi="仿宋"/>
                <w:bCs/>
                <w:sz w:val="24"/>
                <w:szCs w:val="24"/>
              </w:rPr>
              <w:t>-</w:t>
            </w:r>
            <w:r>
              <w:rPr>
                <w:rFonts w:ascii="仿宋" w:eastAsia="仿宋" w:hAnsi="仿宋"/>
                <w:bCs/>
                <w:sz w:val="24"/>
                <w:szCs w:val="24"/>
              </w:rPr>
              <w:t>抑制降解机制。</w:t>
            </w:r>
          </w:p>
          <w:p w:rsidR="0005291D" w:rsidRDefault="0035243D">
            <w:p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5</w:t>
            </w:r>
            <w:r>
              <w:rPr>
                <w:rFonts w:ascii="仿宋" w:eastAsia="仿宋" w:hAnsi="仿宋"/>
                <w:bCs/>
                <w:sz w:val="24"/>
                <w:szCs w:val="24"/>
              </w:rPr>
              <w:t>）等离体子体强化工业烟气净化过程控制</w:t>
            </w:r>
          </w:p>
          <w:p w:rsidR="0005291D" w:rsidRDefault="0035243D">
            <w:pPr>
              <w:numPr>
                <w:ilvl w:val="0"/>
                <w:numId w:val="2"/>
              </w:num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结合研究内容</w:t>
            </w:r>
            <w:r>
              <w:rPr>
                <w:rFonts w:ascii="仿宋" w:eastAsia="仿宋" w:hAnsi="仿宋"/>
                <w:bCs/>
                <w:sz w:val="24"/>
                <w:szCs w:val="24"/>
              </w:rPr>
              <w:t>3</w:t>
            </w:r>
            <w:r>
              <w:rPr>
                <w:rFonts w:ascii="仿宋" w:eastAsia="仿宋" w:hAnsi="仿宋"/>
                <w:bCs/>
                <w:sz w:val="24"/>
                <w:szCs w:val="24"/>
              </w:rPr>
              <w:t>）和</w:t>
            </w:r>
            <w:r>
              <w:rPr>
                <w:rFonts w:ascii="仿宋" w:eastAsia="仿宋" w:hAnsi="仿宋"/>
                <w:bCs/>
                <w:sz w:val="24"/>
                <w:szCs w:val="24"/>
              </w:rPr>
              <w:t>4</w:t>
            </w:r>
            <w:r>
              <w:rPr>
                <w:rFonts w:ascii="仿宋" w:eastAsia="仿宋" w:hAnsi="仿宋"/>
                <w:bCs/>
                <w:sz w:val="24"/>
                <w:szCs w:val="24"/>
              </w:rPr>
              <w:t>），优化外置式等离子体催化氧化装置，形成工业烟气净化新工艺；</w:t>
            </w:r>
          </w:p>
          <w:p w:rsidR="0005291D" w:rsidRDefault="0035243D">
            <w:pPr>
              <w:numPr>
                <w:ilvl w:val="0"/>
                <w:numId w:val="2"/>
              </w:num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评价处理前后的工业烟气生物毒性。</w:t>
            </w:r>
          </w:p>
          <w:p w:rsidR="0005291D" w:rsidRDefault="0035243D">
            <w:pPr>
              <w:spacing w:beforeLines="50" w:before="120" w:afterLines="50" w:after="120" w:line="360" w:lineRule="auto"/>
              <w:rPr>
                <w:rFonts w:ascii="仿宋" w:eastAsia="仿宋" w:hAnsi="仿宋"/>
                <w:b/>
                <w:bCs/>
                <w:sz w:val="24"/>
                <w:szCs w:val="24"/>
              </w:rPr>
            </w:pPr>
            <w:r>
              <w:rPr>
                <w:rFonts w:ascii="仿宋" w:eastAsia="仿宋" w:hAnsi="仿宋"/>
                <w:b/>
                <w:bCs/>
                <w:sz w:val="24"/>
                <w:szCs w:val="24"/>
              </w:rPr>
              <w:t>要解决的主要问题</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sz w:val="24"/>
                <w:szCs w:val="24"/>
              </w:rPr>
              <w:t>）精准控制滑动弧等离子体稳定性</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针对低温等离子体稳定性稳定性差的缺点，本项目拟以优化搭建滑动弧放电装置电极结构，通过</w:t>
            </w:r>
            <w:r>
              <w:rPr>
                <w:rFonts w:ascii="仿宋" w:eastAsia="仿宋" w:hAnsi="仿宋"/>
                <w:sz w:val="24"/>
                <w:szCs w:val="24"/>
              </w:rPr>
              <w:t>调控电压、电流、载气种类、载气流速等因素，形成精准控制滑动弧等离</w:t>
            </w:r>
            <w:r>
              <w:rPr>
                <w:rFonts w:ascii="仿宋" w:eastAsia="仿宋" w:hAnsi="仿宋"/>
                <w:sz w:val="24"/>
                <w:szCs w:val="24"/>
              </w:rPr>
              <w:lastRenderedPageBreak/>
              <w:t>子体稳定性的关键技术。</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sz w:val="24"/>
                <w:szCs w:val="24"/>
              </w:rPr>
              <w:t>）精准控制滑动弧等离子体激发载气所产生活性粒子种类</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采用基于低温等离子体技术，能够获得大量的活性粒子（自由基，臭氧等），但是活性粒子种类复杂，难以控制有效活性粒子组份，从而导致污染物降解过程产生副产物种类繁多且具有生物毒性。因此，针对上述问题，项目拟以调控电压、电流、载气种类、载气流速、污染物结构、水气比等因素，形成精准控制滑动弧等离子体激发载气所产生活性粒子种类的关键技术。</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sz w:val="24"/>
                <w:szCs w:val="24"/>
              </w:rPr>
              <w:t>外置式等离子各单元相互影响机制和效能协</w:t>
            </w:r>
            <w:r>
              <w:rPr>
                <w:rFonts w:ascii="仿宋" w:eastAsia="仿宋" w:hAnsi="仿宋"/>
                <w:sz w:val="24"/>
                <w:szCs w:val="24"/>
              </w:rPr>
              <w:t>同途径</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滑动弧低温等离子体激发气体电离产生活性粒子和活性粒子降解有机物是互为联系又相对独立的过程，两者协同作用机制较为复杂，必须弄清楚在二者内在构效关系和可能的构效协同强化途径。项目拟构建活性粒子形态</w:t>
            </w:r>
            <w:r>
              <w:rPr>
                <w:rFonts w:ascii="仿宋" w:eastAsia="仿宋" w:hAnsi="仿宋"/>
                <w:sz w:val="24"/>
                <w:szCs w:val="24"/>
              </w:rPr>
              <w:t>-</w:t>
            </w:r>
            <w:r>
              <w:rPr>
                <w:rFonts w:ascii="仿宋" w:eastAsia="仿宋" w:hAnsi="仿宋"/>
                <w:sz w:val="24"/>
                <w:szCs w:val="24"/>
              </w:rPr>
              <w:t>有机废气结构相互调控机制，并阐明强化有机物降解机制，指导外置式低温等离子技术高效净化工业烟气。</w:t>
            </w:r>
          </w:p>
        </w:tc>
      </w:tr>
      <w:tr w:rsidR="0005291D">
        <w:trPr>
          <w:trHeight w:val="4585"/>
        </w:trPr>
        <w:tc>
          <w:tcPr>
            <w:tcW w:w="9366" w:type="dxa"/>
            <w:gridSpan w:val="7"/>
          </w:tcPr>
          <w:p w:rsidR="0005291D" w:rsidRDefault="0035243D">
            <w:pPr>
              <w:spacing w:beforeLines="50" w:before="120" w:afterLines="50" w:after="120" w:line="360" w:lineRule="auto"/>
              <w:rPr>
                <w:rFonts w:ascii="仿宋" w:eastAsia="仿宋" w:hAnsi="仿宋"/>
                <w:b/>
                <w:bCs/>
                <w:sz w:val="24"/>
                <w:szCs w:val="24"/>
              </w:rPr>
            </w:pPr>
            <w:r>
              <w:rPr>
                <w:rFonts w:ascii="仿宋" w:eastAsia="仿宋" w:hAnsi="仿宋" w:hint="eastAsia"/>
                <w:b/>
                <w:bCs/>
                <w:sz w:val="24"/>
                <w:szCs w:val="24"/>
              </w:rPr>
              <w:lastRenderedPageBreak/>
              <w:t>国内外研究现状和发展动态</w:t>
            </w:r>
          </w:p>
          <w:p w:rsidR="0005291D" w:rsidRDefault="0035243D">
            <w:pPr>
              <w:spacing w:beforeLines="50" w:before="120" w:afterLines="50" w:after="120" w:line="360" w:lineRule="auto"/>
              <w:ind w:firstLineChars="200" w:firstLine="480"/>
              <w:rPr>
                <w:rFonts w:ascii="仿宋" w:eastAsia="仿宋" w:hAnsi="仿宋"/>
                <w:b/>
                <w:bCs/>
                <w:sz w:val="24"/>
                <w:szCs w:val="24"/>
              </w:rPr>
            </w:pPr>
            <w:r>
              <w:rPr>
                <w:rFonts w:ascii="仿宋" w:eastAsia="仿宋" w:hAnsi="仿宋"/>
                <w:sz w:val="24"/>
                <w:szCs w:val="24"/>
              </w:rPr>
              <w:t>富煤、贫油、少气的能源结构决定了煤化工产业在我国国民经济中占有重要地位。随着现代工业的蓬勃发展，煤基产业推动多个行业快速发展，包括化工、电力、能源等。然而，随着大量工业烟气的排放，环境承载力急剧下降，污染问题日益凸显。通常，工业烟气主要包括含硫化合物、氮氧化物、挥发性有机物（</w:t>
            </w:r>
            <w:r>
              <w:rPr>
                <w:rFonts w:ascii="仿宋" w:eastAsia="仿宋" w:hAnsi="仿宋"/>
                <w:sz w:val="24"/>
                <w:szCs w:val="24"/>
              </w:rPr>
              <w:t>Volatile Organic Compounds, VOCs</w:t>
            </w:r>
            <w:r>
              <w:rPr>
                <w:rFonts w:ascii="仿宋" w:eastAsia="仿宋" w:hAnsi="仿宋"/>
                <w:sz w:val="24"/>
                <w:szCs w:val="24"/>
              </w:rPr>
              <w:t>）和颗粒物。该污染物具有浓度低、成份复杂，来源广泛，涉及行业众多，以及排放总量大的特点。此外，具有</w:t>
            </w:r>
            <w:r>
              <w:rPr>
                <w:rFonts w:ascii="仿宋" w:eastAsia="仿宋" w:hAnsi="仿宋"/>
                <w:sz w:val="24"/>
                <w:szCs w:val="24"/>
              </w:rPr>
              <w:t>“</w:t>
            </w:r>
            <w:r>
              <w:rPr>
                <w:rFonts w:ascii="仿宋" w:eastAsia="仿宋" w:hAnsi="仿宋"/>
                <w:sz w:val="24"/>
                <w:szCs w:val="24"/>
              </w:rPr>
              <w:t>三致</w:t>
            </w:r>
            <w:r>
              <w:rPr>
                <w:rFonts w:ascii="仿宋" w:eastAsia="仿宋" w:hAnsi="仿宋"/>
                <w:sz w:val="24"/>
                <w:szCs w:val="24"/>
              </w:rPr>
              <w:t>”</w:t>
            </w:r>
            <w:r>
              <w:rPr>
                <w:rFonts w:ascii="仿宋" w:eastAsia="仿宋" w:hAnsi="仿宋"/>
                <w:sz w:val="24"/>
                <w:szCs w:val="24"/>
              </w:rPr>
              <w:t>效应，也能够引起光化学烟雾、破坏臭氧层、城市灰霾等深层次的环境问题</w:t>
            </w:r>
            <w:r>
              <w:rPr>
                <w:rFonts w:ascii="仿宋" w:eastAsia="仿宋" w:hAnsi="仿宋"/>
                <w:sz w:val="24"/>
                <w:szCs w:val="24"/>
                <w:vertAlign w:val="superscript"/>
              </w:rPr>
              <w:t>[1]</w:t>
            </w:r>
            <w:r>
              <w:rPr>
                <w:rFonts w:ascii="仿宋" w:eastAsia="仿宋" w:hAnsi="仿宋"/>
                <w:sz w:val="24"/>
                <w:szCs w:val="24"/>
              </w:rPr>
              <w:t>。</w:t>
            </w:r>
            <w:r>
              <w:rPr>
                <w:rFonts w:ascii="仿宋" w:eastAsia="仿宋" w:hAnsi="仿宋"/>
                <w:b/>
                <w:bCs/>
                <w:sz w:val="24"/>
                <w:szCs w:val="24"/>
              </w:rPr>
              <w:t>因此，深度净化工业烟气是实现大气污染控制的关键所在，也是努力建成</w:t>
            </w:r>
            <w:r>
              <w:rPr>
                <w:rFonts w:ascii="仿宋" w:eastAsia="仿宋" w:hAnsi="仿宋"/>
                <w:b/>
                <w:bCs/>
                <w:sz w:val="24"/>
                <w:szCs w:val="24"/>
              </w:rPr>
              <w:t>“</w:t>
            </w:r>
            <w:r>
              <w:rPr>
                <w:rFonts w:ascii="仿宋" w:eastAsia="仿宋" w:hAnsi="仿宋"/>
                <w:b/>
                <w:bCs/>
                <w:sz w:val="24"/>
                <w:szCs w:val="24"/>
              </w:rPr>
              <w:t>美丽中国</w:t>
            </w:r>
            <w:r>
              <w:rPr>
                <w:rFonts w:ascii="仿宋" w:eastAsia="仿宋" w:hAnsi="仿宋"/>
                <w:b/>
                <w:bCs/>
                <w:sz w:val="24"/>
                <w:szCs w:val="24"/>
              </w:rPr>
              <w:t>”</w:t>
            </w:r>
            <w:r>
              <w:rPr>
                <w:rFonts w:ascii="仿宋" w:eastAsia="仿宋" w:hAnsi="仿宋"/>
                <w:b/>
                <w:bCs/>
                <w:sz w:val="24"/>
                <w:szCs w:val="24"/>
              </w:rPr>
              <w:t>的必然要求。</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基于工业烟气的环境兼容性差，采用氧化法，即利用氧气或者活性自由基氧化法，达到净化工业烟气的目的。常用处理技术包括生物处理法、燃烧法、光催化、臭氧氧化及低温等离子体技术等</w:t>
            </w:r>
            <w:r>
              <w:rPr>
                <w:rFonts w:ascii="仿宋" w:eastAsia="仿宋" w:hAnsi="仿宋"/>
                <w:sz w:val="24"/>
                <w:szCs w:val="24"/>
                <w:vertAlign w:val="superscript"/>
              </w:rPr>
              <w:t>[2-6]</w:t>
            </w:r>
            <w:r>
              <w:rPr>
                <w:rFonts w:ascii="仿宋" w:eastAsia="仿宋" w:hAnsi="仿宋"/>
                <w:sz w:val="24"/>
                <w:szCs w:val="24"/>
              </w:rPr>
              <w:t>。例如，利用微生物对污染物有较强、较快的适应能力的特点，对其进行驯化，使其能够以污染物（通常是有机物）为碳源和能源，并将污染物转化为无害物质（如</w:t>
            </w:r>
            <w:r>
              <w:rPr>
                <w:rFonts w:ascii="仿宋" w:eastAsia="仿宋" w:hAnsi="仿宋"/>
                <w:sz w:val="24"/>
                <w:szCs w:val="24"/>
              </w:rPr>
              <w:t>CO</w:t>
            </w:r>
            <w:r>
              <w:rPr>
                <w:rFonts w:ascii="仿宋" w:eastAsia="仿宋" w:hAnsi="仿宋"/>
                <w:sz w:val="24"/>
                <w:szCs w:val="24"/>
                <w:vertAlign w:val="subscript"/>
              </w:rPr>
              <w:t>2</w:t>
            </w:r>
            <w:r>
              <w:rPr>
                <w:rFonts w:ascii="仿宋" w:eastAsia="仿宋" w:hAnsi="仿宋"/>
                <w:sz w:val="24"/>
                <w:szCs w:val="24"/>
              </w:rPr>
              <w:t>、</w:t>
            </w:r>
            <w:r>
              <w:rPr>
                <w:rFonts w:ascii="仿宋" w:eastAsia="仿宋" w:hAnsi="仿宋"/>
                <w:sz w:val="24"/>
                <w:szCs w:val="24"/>
              </w:rPr>
              <w:t>H</w:t>
            </w:r>
            <w:r>
              <w:rPr>
                <w:rFonts w:ascii="仿宋" w:eastAsia="仿宋" w:hAnsi="仿宋"/>
                <w:sz w:val="24"/>
                <w:szCs w:val="24"/>
                <w:vertAlign w:val="subscript"/>
              </w:rPr>
              <w:t>2</w:t>
            </w:r>
            <w:r>
              <w:rPr>
                <w:rFonts w:ascii="仿宋" w:eastAsia="仿宋" w:hAnsi="仿宋"/>
                <w:sz w:val="24"/>
                <w:szCs w:val="24"/>
              </w:rPr>
              <w:t>O</w:t>
            </w:r>
            <w:r>
              <w:rPr>
                <w:rFonts w:ascii="仿宋" w:eastAsia="仿宋" w:hAnsi="仿宋"/>
                <w:sz w:val="24"/>
                <w:szCs w:val="24"/>
              </w:rPr>
              <w:t>等）。但是，设备占地面积大、处理量小、另外用生物法处理有机污染物需要一定的经验</w:t>
            </w:r>
            <w:r>
              <w:rPr>
                <w:rFonts w:ascii="仿宋" w:eastAsia="仿宋" w:hAnsi="仿宋"/>
                <w:sz w:val="24"/>
                <w:szCs w:val="24"/>
              </w:rPr>
              <w:t>和操作条件。燃烧法采用在足够高的温度、过量的空气和湍流的条件下进行完全燃烧，最终分解成为</w:t>
            </w:r>
            <w:r>
              <w:rPr>
                <w:rFonts w:ascii="仿宋" w:eastAsia="仿宋" w:hAnsi="仿宋"/>
                <w:sz w:val="24"/>
                <w:szCs w:val="24"/>
              </w:rPr>
              <w:t>CO</w:t>
            </w:r>
            <w:r>
              <w:rPr>
                <w:rFonts w:ascii="仿宋" w:eastAsia="仿宋" w:hAnsi="仿宋"/>
                <w:sz w:val="24"/>
                <w:szCs w:val="24"/>
                <w:vertAlign w:val="subscript"/>
              </w:rPr>
              <w:t>2</w:t>
            </w:r>
            <w:r>
              <w:rPr>
                <w:rFonts w:ascii="仿宋" w:eastAsia="仿宋" w:hAnsi="仿宋"/>
                <w:sz w:val="24"/>
                <w:szCs w:val="24"/>
              </w:rPr>
              <w:t>和</w:t>
            </w:r>
            <w:r>
              <w:rPr>
                <w:rFonts w:ascii="仿宋" w:eastAsia="仿宋" w:hAnsi="仿宋"/>
                <w:sz w:val="24"/>
                <w:szCs w:val="24"/>
              </w:rPr>
              <w:t>H</w:t>
            </w:r>
            <w:r>
              <w:rPr>
                <w:rFonts w:ascii="仿宋" w:eastAsia="仿宋" w:hAnsi="仿宋"/>
                <w:sz w:val="24"/>
                <w:szCs w:val="24"/>
                <w:vertAlign w:val="subscript"/>
              </w:rPr>
              <w:t>2</w:t>
            </w:r>
            <w:r>
              <w:rPr>
                <w:rFonts w:ascii="仿宋" w:eastAsia="仿宋" w:hAnsi="仿宋"/>
                <w:sz w:val="24"/>
                <w:szCs w:val="24"/>
              </w:rPr>
              <w:t>O</w:t>
            </w:r>
            <w:r>
              <w:rPr>
                <w:rFonts w:ascii="仿宋" w:eastAsia="仿宋" w:hAnsi="仿宋"/>
                <w:sz w:val="24"/>
                <w:szCs w:val="24"/>
              </w:rPr>
              <w:t>。但是，过程能耗高，不完全燃烧</w:t>
            </w:r>
            <w:r>
              <w:rPr>
                <w:rFonts w:ascii="仿宋" w:eastAsia="仿宋" w:hAnsi="仿宋"/>
                <w:sz w:val="24"/>
                <w:szCs w:val="24"/>
              </w:rPr>
              <w:lastRenderedPageBreak/>
              <w:t>可能导致二次污染。光催化能够在温和反应条件下实验对气体的深度处理，但是反应速度慢，可产生毒性中间产物，工程放大受反应条件和施工条件限制。臭氧氧化法作为一种水处理常见技术，也被应用于工业烟气降解。该方法利用臭氧形成的活性氧打开污染物中不饱和键，并在温和反应条件下实现矿化。但是，针对低浓度有机废气，臭氧氧化效率低，反应过程慢，矿化度不高，同时，由于臭氧利用率不高，给环境带来二次污染</w:t>
            </w:r>
            <w:r>
              <w:rPr>
                <w:rFonts w:ascii="仿宋" w:eastAsia="仿宋" w:hAnsi="仿宋"/>
                <w:sz w:val="24"/>
                <w:szCs w:val="24"/>
                <w:vertAlign w:val="superscript"/>
              </w:rPr>
              <w:t>[5]</w:t>
            </w:r>
            <w:r>
              <w:rPr>
                <w:rFonts w:ascii="仿宋" w:eastAsia="仿宋" w:hAnsi="仿宋"/>
                <w:sz w:val="24"/>
                <w:szCs w:val="24"/>
              </w:rPr>
              <w:t>。</w:t>
            </w:r>
          </w:p>
          <w:p w:rsidR="0005291D" w:rsidRDefault="0035243D">
            <w:pPr>
              <w:spacing w:beforeLines="50" w:before="120" w:afterLines="50" w:after="120" w:line="360" w:lineRule="auto"/>
              <w:ind w:firstLineChars="200" w:firstLine="480"/>
              <w:rPr>
                <w:rFonts w:ascii="仿宋" w:eastAsia="仿宋" w:hAnsi="仿宋"/>
                <w:b/>
                <w:bCs/>
                <w:sz w:val="24"/>
                <w:szCs w:val="24"/>
              </w:rPr>
            </w:pPr>
            <w:r>
              <w:rPr>
                <w:rFonts w:ascii="仿宋" w:eastAsia="仿宋" w:hAnsi="仿宋"/>
                <w:sz w:val="24"/>
                <w:szCs w:val="24"/>
              </w:rPr>
              <w:t>基于上述处理技术存在的优缺点，近年来，低温等离子体技术逐渐被应用于有机废气处理。该工艺通过激发气体电离提供大量的活性基团和高能电子，促使反应条件苛刻的化学反应能够在温和条件下发生，以期达到脱除</w:t>
            </w:r>
            <w:r>
              <w:rPr>
                <w:rFonts w:ascii="仿宋" w:eastAsia="仿宋" w:hAnsi="仿宋"/>
                <w:sz w:val="24"/>
                <w:szCs w:val="24"/>
              </w:rPr>
              <w:t>VOCs</w:t>
            </w:r>
            <w:r>
              <w:rPr>
                <w:rFonts w:ascii="仿宋" w:eastAsia="仿宋" w:hAnsi="仿宋"/>
                <w:sz w:val="24"/>
                <w:szCs w:val="24"/>
              </w:rPr>
              <w:t>的目的。通常，采用大气压下的非平衡等离子体技术，包括电子束辐照，电晕放电，介质阻挡放电，滑动弧放电等</w:t>
            </w:r>
            <w:r>
              <w:rPr>
                <w:rFonts w:ascii="仿宋" w:eastAsia="仿宋" w:hAnsi="仿宋"/>
                <w:sz w:val="24"/>
                <w:szCs w:val="24"/>
                <w:vertAlign w:val="superscript"/>
              </w:rPr>
              <w:t>[7-11]</w:t>
            </w:r>
            <w:r>
              <w:rPr>
                <w:rFonts w:ascii="仿宋" w:eastAsia="仿宋" w:hAnsi="仿宋"/>
                <w:sz w:val="24"/>
                <w:szCs w:val="24"/>
              </w:rPr>
              <w:t>。其中，滑动弧放电等离子体是近年来发展起来的一项新技术。相对其他低温等离子体，滑动弧放电一方面具有高温等离子体属性（一种完全电离的等离子体），另一方面具有非平衡等离子体属性（产生过程电流较小</w:t>
            </w:r>
            <w:r>
              <w:rPr>
                <w:rFonts w:ascii="仿宋" w:eastAsia="仿宋" w:hAnsi="仿宋"/>
                <w:sz w:val="24"/>
                <w:szCs w:val="24"/>
              </w:rPr>
              <w:t>，输入功率较小，主要靠强电场电离的方式为主）。鉴于此，其在环境污染控制有一定的应用，例如，滑动弧放电等离子体处理多环芳烃，氯苯和二恶英</w:t>
            </w:r>
            <w:r>
              <w:rPr>
                <w:rFonts w:ascii="仿宋" w:eastAsia="仿宋" w:hAnsi="仿宋"/>
                <w:sz w:val="24"/>
                <w:szCs w:val="24"/>
                <w:vertAlign w:val="superscript"/>
              </w:rPr>
              <w:t>[10, 11]</w:t>
            </w:r>
            <w:r>
              <w:rPr>
                <w:rFonts w:ascii="仿宋" w:eastAsia="仿宋" w:hAnsi="仿宋"/>
                <w:sz w:val="24"/>
                <w:szCs w:val="24"/>
              </w:rPr>
              <w:t>。但是，降解过程仍会产生很多毒性中间产物，并释放臭氧等副产物。</w:t>
            </w:r>
            <w:r>
              <w:rPr>
                <w:rFonts w:ascii="仿宋" w:eastAsia="仿宋" w:hAnsi="仿宋"/>
                <w:b/>
                <w:bCs/>
                <w:sz w:val="24"/>
                <w:szCs w:val="24"/>
              </w:rPr>
              <w:t>因此，如何提高滑动弧低温等离子体放电技术的选择性，实现有机物高效矿化，是突破滑动弧低温等离子体放电技术瓶颈的必经之路。</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综上所述，利用基于低温等离子体的滑动弧光放电技术深度降解挥发性有机物，通过搭建滑动弧光放电装置，重点研究等离子体调控活性自由基产生过程控制及机制，挥发性有机物降解机制，无机废气与挥发性有机物同步去除机制，构建自由基</w:t>
            </w:r>
            <w:r>
              <w:rPr>
                <w:rFonts w:ascii="仿宋" w:eastAsia="仿宋" w:hAnsi="仿宋"/>
                <w:sz w:val="24"/>
                <w:szCs w:val="24"/>
              </w:rPr>
              <w:t>-</w:t>
            </w:r>
            <w:r>
              <w:rPr>
                <w:rFonts w:ascii="仿宋" w:eastAsia="仿宋" w:hAnsi="仿宋"/>
                <w:sz w:val="24"/>
                <w:szCs w:val="24"/>
              </w:rPr>
              <w:t>污染物间构效关系的相互调控机制，为开发和优化工业废气深度净化工艺所需新技术提供新思路。</w:t>
            </w:r>
          </w:p>
          <w:p w:rsidR="0005291D" w:rsidRDefault="0035243D">
            <w:pPr>
              <w:spacing w:beforeLines="50" w:before="120" w:afterLines="50" w:after="120" w:line="360" w:lineRule="auto"/>
              <w:jc w:val="both"/>
              <w:rPr>
                <w:rFonts w:ascii="仿宋" w:eastAsia="仿宋" w:hAnsi="仿宋"/>
                <w:bCs/>
                <w:sz w:val="18"/>
                <w:szCs w:val="18"/>
              </w:rPr>
            </w:pPr>
            <w:r>
              <w:rPr>
                <w:rFonts w:ascii="仿宋" w:eastAsia="仿宋" w:hAnsi="仿宋"/>
                <w:bCs/>
                <w:sz w:val="18"/>
                <w:szCs w:val="18"/>
              </w:rPr>
              <w:t>参考文献</w:t>
            </w:r>
          </w:p>
          <w:p w:rsidR="0005291D" w:rsidRDefault="0035243D">
            <w:pPr>
              <w:spacing w:beforeLines="50" w:before="120" w:afterLines="50" w:after="120" w:line="360" w:lineRule="auto"/>
              <w:rPr>
                <w:rFonts w:ascii="Times New Roman" w:eastAsia="仿宋" w:hAnsi="Times New Roman"/>
                <w:sz w:val="18"/>
                <w:szCs w:val="18"/>
              </w:rPr>
            </w:pPr>
            <w:r>
              <w:rPr>
                <w:rFonts w:ascii="Times New Roman" w:eastAsia="仿宋" w:hAnsi="Times New Roman"/>
                <w:sz w:val="18"/>
                <w:szCs w:val="18"/>
              </w:rPr>
              <w:t xml:space="preserve">[1]Wang H L, Jing S A, Lou S R, Hu Q Y, Li L, Tao S K, Huang C, </w:t>
            </w:r>
            <w:proofErr w:type="spellStart"/>
            <w:r>
              <w:rPr>
                <w:rFonts w:ascii="Times New Roman" w:eastAsia="仿宋" w:hAnsi="Times New Roman"/>
                <w:sz w:val="18"/>
                <w:szCs w:val="18"/>
              </w:rPr>
              <w:t>Qiao</w:t>
            </w:r>
            <w:proofErr w:type="spellEnd"/>
            <w:r>
              <w:rPr>
                <w:rFonts w:ascii="Times New Roman" w:eastAsia="仿宋" w:hAnsi="Times New Roman"/>
                <w:sz w:val="18"/>
                <w:szCs w:val="18"/>
              </w:rPr>
              <w:t xml:space="preserve"> L P, Chen C H. Volatile organi</w:t>
            </w:r>
            <w:r>
              <w:rPr>
                <w:rFonts w:ascii="Times New Roman" w:eastAsia="仿宋" w:hAnsi="Times New Roman"/>
                <w:sz w:val="18"/>
                <w:szCs w:val="18"/>
              </w:rPr>
              <w:t>c compounds (VOCs) source profiles of on-road vehicle emissions in China. Science of The Total Environment, 2017, 607-608(31): 253</w:t>
            </w:r>
            <w:r>
              <w:rPr>
                <w:rFonts w:ascii="Times New Roman" w:eastAsia="MS Mincho" w:hAnsi="Times New Roman"/>
                <w:sz w:val="18"/>
                <w:szCs w:val="18"/>
              </w:rPr>
              <w:t>‒</w:t>
            </w:r>
            <w:r>
              <w:rPr>
                <w:rFonts w:ascii="Times New Roman" w:eastAsia="仿宋" w:hAnsi="Times New Roman"/>
                <w:sz w:val="18"/>
                <w:szCs w:val="18"/>
              </w:rPr>
              <w:t>261.</w:t>
            </w:r>
          </w:p>
          <w:p w:rsidR="0005291D" w:rsidRDefault="0035243D">
            <w:pPr>
              <w:spacing w:beforeLines="50" w:before="120" w:afterLines="50" w:after="120" w:line="360" w:lineRule="auto"/>
              <w:rPr>
                <w:rFonts w:ascii="仿宋" w:eastAsia="仿宋" w:hAnsi="仿宋"/>
                <w:sz w:val="18"/>
                <w:szCs w:val="18"/>
              </w:rPr>
            </w:pPr>
            <w:r>
              <w:rPr>
                <w:rFonts w:ascii="仿宋" w:eastAsia="仿宋" w:hAnsi="仿宋"/>
                <w:sz w:val="18"/>
                <w:szCs w:val="18"/>
              </w:rPr>
              <w:t>[2]</w:t>
            </w:r>
            <w:r>
              <w:rPr>
                <w:rFonts w:ascii="仿宋" w:eastAsia="仿宋" w:hAnsi="仿宋"/>
                <w:sz w:val="18"/>
                <w:szCs w:val="18"/>
              </w:rPr>
              <w:t>杨豪</w:t>
            </w:r>
            <w:r>
              <w:rPr>
                <w:rFonts w:ascii="仿宋" w:eastAsia="仿宋" w:hAnsi="仿宋"/>
                <w:sz w:val="18"/>
                <w:szCs w:val="18"/>
              </w:rPr>
              <w:t xml:space="preserve">, </w:t>
            </w:r>
            <w:r>
              <w:rPr>
                <w:rFonts w:ascii="仿宋" w:eastAsia="仿宋" w:hAnsi="仿宋"/>
                <w:sz w:val="18"/>
                <w:szCs w:val="18"/>
              </w:rPr>
              <w:t>李彦旭</w:t>
            </w:r>
            <w:r>
              <w:rPr>
                <w:rFonts w:ascii="仿宋" w:eastAsia="仿宋" w:hAnsi="仿宋"/>
                <w:sz w:val="18"/>
                <w:szCs w:val="18"/>
              </w:rPr>
              <w:t xml:space="preserve">, </w:t>
            </w:r>
            <w:r>
              <w:rPr>
                <w:rFonts w:ascii="仿宋" w:eastAsia="仿宋" w:hAnsi="仿宋"/>
                <w:sz w:val="18"/>
                <w:szCs w:val="18"/>
              </w:rPr>
              <w:t>卢姿</w:t>
            </w:r>
            <w:r>
              <w:rPr>
                <w:rFonts w:ascii="仿宋" w:eastAsia="仿宋" w:hAnsi="仿宋"/>
                <w:sz w:val="18"/>
                <w:szCs w:val="18"/>
              </w:rPr>
              <w:t xml:space="preserve">. </w:t>
            </w:r>
            <w:r>
              <w:rPr>
                <w:rFonts w:ascii="仿宋" w:eastAsia="仿宋" w:hAnsi="仿宋"/>
                <w:sz w:val="18"/>
                <w:szCs w:val="18"/>
              </w:rPr>
              <w:t>生物法处理挥发性有机废气</w:t>
            </w:r>
            <w:r>
              <w:rPr>
                <w:rFonts w:ascii="仿宋" w:eastAsia="仿宋" w:hAnsi="仿宋"/>
                <w:sz w:val="18"/>
                <w:szCs w:val="18"/>
              </w:rPr>
              <w:t xml:space="preserve"> (VOCs)</w:t>
            </w:r>
            <w:r>
              <w:rPr>
                <w:rFonts w:ascii="仿宋" w:eastAsia="仿宋" w:hAnsi="仿宋"/>
                <w:sz w:val="18"/>
                <w:szCs w:val="18"/>
              </w:rPr>
              <w:t>的研究</w:t>
            </w:r>
            <w:r>
              <w:rPr>
                <w:rFonts w:ascii="仿宋" w:eastAsia="仿宋" w:hAnsi="仿宋"/>
                <w:sz w:val="18"/>
                <w:szCs w:val="18"/>
              </w:rPr>
              <w:t xml:space="preserve">. </w:t>
            </w:r>
            <w:r>
              <w:rPr>
                <w:rFonts w:ascii="仿宋" w:eastAsia="仿宋" w:hAnsi="仿宋"/>
                <w:sz w:val="18"/>
                <w:szCs w:val="18"/>
              </w:rPr>
              <w:t>广东化工</w:t>
            </w:r>
            <w:r>
              <w:rPr>
                <w:rFonts w:ascii="仿宋" w:eastAsia="仿宋" w:hAnsi="仿宋"/>
                <w:sz w:val="18"/>
                <w:szCs w:val="18"/>
              </w:rPr>
              <w:t>, 2009,  32(08): 125</w:t>
            </w:r>
            <w:r>
              <w:rPr>
                <w:rFonts w:ascii="MS Mincho" w:eastAsia="MS Mincho" w:hAnsi="MS Mincho" w:cs="MS Mincho" w:hint="eastAsia"/>
                <w:sz w:val="18"/>
                <w:szCs w:val="18"/>
              </w:rPr>
              <w:t>‒</w:t>
            </w:r>
            <w:r>
              <w:rPr>
                <w:rFonts w:ascii="仿宋" w:eastAsia="仿宋" w:hAnsi="仿宋" w:cs="仿宋" w:hint="eastAsia"/>
                <w:sz w:val="18"/>
                <w:szCs w:val="18"/>
              </w:rPr>
              <w:t>127.</w:t>
            </w:r>
          </w:p>
          <w:p w:rsidR="0005291D" w:rsidRDefault="0035243D">
            <w:pPr>
              <w:spacing w:beforeLines="50" w:before="120" w:afterLines="50" w:after="120" w:line="360" w:lineRule="auto"/>
              <w:rPr>
                <w:rFonts w:ascii="Times New Roman" w:eastAsia="仿宋" w:hAnsi="Times New Roman"/>
                <w:sz w:val="18"/>
                <w:szCs w:val="18"/>
              </w:rPr>
            </w:pPr>
            <w:r>
              <w:rPr>
                <w:rFonts w:ascii="Times New Roman" w:eastAsia="仿宋" w:hAnsi="Times New Roman"/>
                <w:sz w:val="18"/>
                <w:szCs w:val="18"/>
              </w:rPr>
              <w:t>[3]Zhang C, He H, Tanaka K I. Perfect catalytic ox</w:t>
            </w:r>
            <w:r>
              <w:rPr>
                <w:rFonts w:ascii="Times New Roman" w:eastAsia="仿宋" w:hAnsi="Times New Roman"/>
                <w:sz w:val="18"/>
                <w:szCs w:val="18"/>
              </w:rPr>
              <w:t>idation of formaldehyde over a Pt/TiO2 catalyst at room temperature. Catalysis Communications, 2005, 6 (3): 211</w:t>
            </w:r>
            <w:r>
              <w:rPr>
                <w:rFonts w:ascii="Times New Roman" w:eastAsia="MS Mincho" w:hAnsi="Times New Roman"/>
                <w:sz w:val="18"/>
                <w:szCs w:val="18"/>
              </w:rPr>
              <w:t>‒</w:t>
            </w:r>
            <w:r>
              <w:rPr>
                <w:rFonts w:ascii="Times New Roman" w:eastAsia="仿宋" w:hAnsi="Times New Roman"/>
                <w:sz w:val="18"/>
                <w:szCs w:val="18"/>
              </w:rPr>
              <w:t>214.</w:t>
            </w:r>
          </w:p>
          <w:p w:rsidR="0005291D" w:rsidRDefault="0035243D">
            <w:pPr>
              <w:spacing w:beforeLines="50" w:before="120" w:afterLines="50" w:after="120" w:line="360" w:lineRule="auto"/>
              <w:rPr>
                <w:rFonts w:ascii="Times New Roman" w:eastAsia="仿宋" w:hAnsi="Times New Roman"/>
                <w:sz w:val="18"/>
                <w:szCs w:val="18"/>
              </w:rPr>
            </w:pPr>
            <w:r>
              <w:rPr>
                <w:rFonts w:ascii="Times New Roman" w:eastAsia="仿宋" w:hAnsi="Times New Roman"/>
                <w:sz w:val="18"/>
                <w:szCs w:val="18"/>
              </w:rPr>
              <w:t xml:space="preserve">[4]Chen B </w:t>
            </w:r>
            <w:proofErr w:type="spellStart"/>
            <w:r>
              <w:rPr>
                <w:rFonts w:ascii="Times New Roman" w:eastAsia="仿宋" w:hAnsi="Times New Roman"/>
                <w:sz w:val="18"/>
                <w:szCs w:val="18"/>
              </w:rPr>
              <w:t>B</w:t>
            </w:r>
            <w:proofErr w:type="spellEnd"/>
            <w:r>
              <w:rPr>
                <w:rFonts w:ascii="Times New Roman" w:eastAsia="仿宋" w:hAnsi="Times New Roman"/>
                <w:sz w:val="18"/>
                <w:szCs w:val="18"/>
              </w:rPr>
              <w:t xml:space="preserve">, Shi C, Crocker  M. Catalytic removal of formaldehyde at room temperature  over supported gold catalysts. Applied Catalysis B: </w:t>
            </w:r>
            <w:r>
              <w:rPr>
                <w:rFonts w:ascii="Times New Roman" w:eastAsia="仿宋" w:hAnsi="Times New Roman"/>
                <w:sz w:val="18"/>
                <w:szCs w:val="18"/>
              </w:rPr>
              <w:t>Environmental, 2013, 132(133): 245</w:t>
            </w:r>
            <w:r>
              <w:rPr>
                <w:rFonts w:ascii="Times New Roman" w:eastAsia="MS Mincho" w:hAnsi="Times New Roman"/>
                <w:sz w:val="18"/>
                <w:szCs w:val="18"/>
              </w:rPr>
              <w:t>‒</w:t>
            </w:r>
            <w:r>
              <w:rPr>
                <w:rFonts w:ascii="Times New Roman" w:eastAsia="仿宋" w:hAnsi="Times New Roman"/>
                <w:sz w:val="18"/>
                <w:szCs w:val="18"/>
              </w:rPr>
              <w:t>255.</w:t>
            </w:r>
          </w:p>
          <w:p w:rsidR="0005291D" w:rsidRDefault="0035243D">
            <w:pPr>
              <w:spacing w:beforeLines="50" w:before="120" w:afterLines="50" w:after="120" w:line="360" w:lineRule="auto"/>
              <w:rPr>
                <w:rFonts w:ascii="Times New Roman" w:eastAsia="仿宋" w:hAnsi="Times New Roman"/>
                <w:sz w:val="18"/>
                <w:szCs w:val="18"/>
              </w:rPr>
            </w:pPr>
            <w:r>
              <w:rPr>
                <w:rFonts w:ascii="Times New Roman" w:eastAsia="仿宋" w:hAnsi="Times New Roman"/>
                <w:sz w:val="18"/>
                <w:szCs w:val="18"/>
              </w:rPr>
              <w:lastRenderedPageBreak/>
              <w:t>[5]</w:t>
            </w:r>
            <w:proofErr w:type="spellStart"/>
            <w:r>
              <w:rPr>
                <w:rFonts w:ascii="Times New Roman" w:eastAsia="仿宋" w:hAnsi="Times New Roman"/>
                <w:sz w:val="18"/>
                <w:szCs w:val="18"/>
              </w:rPr>
              <w:t>Kwong</w:t>
            </w:r>
            <w:proofErr w:type="spellEnd"/>
            <w:r>
              <w:rPr>
                <w:rFonts w:ascii="Times New Roman" w:eastAsia="仿宋" w:hAnsi="Times New Roman"/>
                <w:sz w:val="18"/>
                <w:szCs w:val="18"/>
              </w:rPr>
              <w:t xml:space="preserve"> C W, Chao C Y H, Hui K S. Removal of VOCs from indoor environment by </w:t>
            </w:r>
            <w:proofErr w:type="spellStart"/>
            <w:r>
              <w:rPr>
                <w:rFonts w:ascii="Times New Roman" w:eastAsia="仿宋" w:hAnsi="Times New Roman"/>
                <w:sz w:val="18"/>
                <w:szCs w:val="18"/>
              </w:rPr>
              <w:t>ozonat</w:t>
            </w:r>
            <w:proofErr w:type="spellEnd"/>
            <w:r>
              <w:rPr>
                <w:rFonts w:ascii="Times New Roman" w:eastAsia="仿宋" w:hAnsi="Times New Roman"/>
                <w:sz w:val="18"/>
                <w:szCs w:val="18"/>
              </w:rPr>
              <w:t xml:space="preserve"> ion over different porous materials. Atmospheric Environment, 2008, 42(10): 2300</w:t>
            </w:r>
            <w:r>
              <w:rPr>
                <w:rFonts w:ascii="Times New Roman" w:eastAsia="MS Mincho" w:hAnsi="Times New Roman"/>
                <w:sz w:val="18"/>
                <w:szCs w:val="18"/>
              </w:rPr>
              <w:t>‒</w:t>
            </w:r>
            <w:r>
              <w:rPr>
                <w:rFonts w:ascii="Times New Roman" w:eastAsia="仿宋" w:hAnsi="Times New Roman"/>
                <w:sz w:val="18"/>
                <w:szCs w:val="18"/>
              </w:rPr>
              <w:t>2311.</w:t>
            </w:r>
          </w:p>
          <w:p w:rsidR="0005291D" w:rsidRDefault="0035243D">
            <w:pPr>
              <w:spacing w:beforeLines="50" w:before="120" w:afterLines="50" w:after="120" w:line="360" w:lineRule="auto"/>
              <w:rPr>
                <w:rFonts w:ascii="Times New Roman" w:eastAsia="仿宋" w:hAnsi="Times New Roman"/>
                <w:sz w:val="18"/>
                <w:szCs w:val="18"/>
              </w:rPr>
            </w:pPr>
            <w:r>
              <w:rPr>
                <w:rFonts w:ascii="Times New Roman" w:eastAsia="仿宋" w:hAnsi="Times New Roman"/>
                <w:sz w:val="18"/>
                <w:szCs w:val="18"/>
              </w:rPr>
              <w:t>[6] Hu C Z, Cai Y N, Wu J. Study on photocat</w:t>
            </w:r>
            <w:r>
              <w:rPr>
                <w:rFonts w:ascii="Times New Roman" w:eastAsia="仿宋" w:hAnsi="Times New Roman"/>
                <w:sz w:val="18"/>
                <w:szCs w:val="18"/>
              </w:rPr>
              <w:t>alytic technology with photovoltaic-thermal integration and its applications in indoor air purification. Advanced Materials Research,  2014, 864-867(06):1360</w:t>
            </w:r>
            <w:r>
              <w:rPr>
                <w:rFonts w:ascii="Times New Roman" w:eastAsia="MS Mincho" w:hAnsi="Times New Roman"/>
                <w:sz w:val="18"/>
                <w:szCs w:val="18"/>
              </w:rPr>
              <w:t>‒</w:t>
            </w:r>
            <w:r>
              <w:rPr>
                <w:rFonts w:ascii="Times New Roman" w:eastAsia="仿宋" w:hAnsi="Times New Roman"/>
                <w:sz w:val="18"/>
                <w:szCs w:val="18"/>
              </w:rPr>
              <w:t>1363.</w:t>
            </w:r>
          </w:p>
          <w:p w:rsidR="0005291D" w:rsidRDefault="0035243D">
            <w:pPr>
              <w:spacing w:beforeLines="50" w:before="120" w:afterLines="50" w:after="120" w:line="360" w:lineRule="auto"/>
              <w:rPr>
                <w:rFonts w:ascii="Times New Roman" w:eastAsia="仿宋" w:hAnsi="Times New Roman"/>
                <w:sz w:val="18"/>
                <w:szCs w:val="18"/>
              </w:rPr>
            </w:pPr>
            <w:r>
              <w:rPr>
                <w:rFonts w:ascii="Times New Roman" w:eastAsia="仿宋" w:hAnsi="Times New Roman"/>
                <w:sz w:val="18"/>
                <w:szCs w:val="18"/>
              </w:rPr>
              <w:t>[7] Son Y S, Kim J, Kim J C. Decomposition of acetaldehyde using an electron beam.  Plasma C</w:t>
            </w:r>
            <w:r>
              <w:rPr>
                <w:rFonts w:ascii="Times New Roman" w:eastAsia="仿宋" w:hAnsi="Times New Roman"/>
                <w:sz w:val="18"/>
                <w:szCs w:val="18"/>
              </w:rPr>
              <w:t>hemistry and Plasma Processing, 2014, 34 (5): 1233</w:t>
            </w:r>
            <w:r>
              <w:rPr>
                <w:rFonts w:ascii="Times New Roman" w:eastAsia="MS Mincho" w:hAnsi="Times New Roman"/>
                <w:sz w:val="18"/>
                <w:szCs w:val="18"/>
              </w:rPr>
              <w:t>‒</w:t>
            </w:r>
            <w:r>
              <w:rPr>
                <w:rFonts w:ascii="Times New Roman" w:eastAsia="仿宋" w:hAnsi="Times New Roman"/>
                <w:sz w:val="18"/>
                <w:szCs w:val="18"/>
              </w:rPr>
              <w:t>1245.</w:t>
            </w:r>
          </w:p>
          <w:p w:rsidR="0005291D" w:rsidRDefault="0035243D">
            <w:pPr>
              <w:spacing w:beforeLines="50" w:before="120" w:afterLines="50" w:after="120" w:line="360" w:lineRule="auto"/>
              <w:rPr>
                <w:rFonts w:ascii="Times New Roman" w:eastAsia="仿宋" w:hAnsi="Times New Roman"/>
                <w:sz w:val="18"/>
                <w:szCs w:val="18"/>
              </w:rPr>
            </w:pPr>
            <w:r>
              <w:rPr>
                <w:rFonts w:ascii="Times New Roman" w:eastAsia="仿宋" w:hAnsi="Times New Roman"/>
                <w:sz w:val="18"/>
                <w:szCs w:val="18"/>
              </w:rPr>
              <w:t>[8] Wan Y, Fan X, Zhu T. Removal of low-concentration formaldehyde in air by DC corona discharge plasma. Chemical Engineering Journal, 2011, 171 (1): 314</w:t>
            </w:r>
            <w:r>
              <w:rPr>
                <w:rFonts w:ascii="Times New Roman" w:eastAsia="MS Mincho" w:hAnsi="Times New Roman"/>
                <w:sz w:val="18"/>
                <w:szCs w:val="18"/>
              </w:rPr>
              <w:t>‒</w:t>
            </w:r>
            <w:r>
              <w:rPr>
                <w:rFonts w:ascii="Times New Roman" w:eastAsia="仿宋" w:hAnsi="Times New Roman"/>
                <w:sz w:val="18"/>
                <w:szCs w:val="18"/>
              </w:rPr>
              <w:t>319.</w:t>
            </w:r>
          </w:p>
          <w:p w:rsidR="0005291D" w:rsidRDefault="0035243D">
            <w:pPr>
              <w:spacing w:beforeLines="50" w:before="120" w:afterLines="50" w:after="120" w:line="360" w:lineRule="auto"/>
              <w:rPr>
                <w:rFonts w:ascii="Times New Roman" w:eastAsia="仿宋" w:hAnsi="Times New Roman"/>
                <w:sz w:val="18"/>
                <w:szCs w:val="18"/>
              </w:rPr>
            </w:pPr>
            <w:r>
              <w:rPr>
                <w:rFonts w:ascii="Times New Roman" w:eastAsia="仿宋" w:hAnsi="Times New Roman"/>
                <w:sz w:val="18"/>
                <w:szCs w:val="18"/>
              </w:rPr>
              <w:t xml:space="preserve">[9] </w:t>
            </w:r>
            <w:proofErr w:type="spellStart"/>
            <w:r>
              <w:rPr>
                <w:rFonts w:ascii="Times New Roman" w:eastAsia="仿宋" w:hAnsi="Times New Roman"/>
                <w:sz w:val="18"/>
                <w:szCs w:val="18"/>
              </w:rPr>
              <w:t>Schiorlin</w:t>
            </w:r>
            <w:proofErr w:type="spellEnd"/>
            <w:r>
              <w:rPr>
                <w:rFonts w:ascii="Times New Roman" w:eastAsia="仿宋" w:hAnsi="Times New Roman"/>
                <w:sz w:val="18"/>
                <w:szCs w:val="18"/>
              </w:rPr>
              <w:t xml:space="preserve"> M, Marotta E, Rea M. </w:t>
            </w:r>
            <w:r>
              <w:rPr>
                <w:rFonts w:ascii="Times New Roman" w:eastAsia="仿宋" w:hAnsi="Times New Roman"/>
                <w:sz w:val="18"/>
                <w:szCs w:val="18"/>
              </w:rPr>
              <w:t xml:space="preserve">Comparison of toluene removal in air at atmospheric conditions by different corona discharges. Environmental </w:t>
            </w:r>
            <w:proofErr w:type="spellStart"/>
            <w:r>
              <w:rPr>
                <w:rFonts w:ascii="Times New Roman" w:eastAsia="仿宋" w:hAnsi="Times New Roman"/>
                <w:sz w:val="18"/>
                <w:szCs w:val="18"/>
              </w:rPr>
              <w:t>Science&amp;Technology</w:t>
            </w:r>
            <w:proofErr w:type="spellEnd"/>
            <w:r>
              <w:rPr>
                <w:rFonts w:ascii="Times New Roman" w:eastAsia="仿宋" w:hAnsi="Times New Roman"/>
                <w:sz w:val="18"/>
                <w:szCs w:val="18"/>
              </w:rPr>
              <w:t>, 2009, 43(24): 9386</w:t>
            </w:r>
            <w:r>
              <w:rPr>
                <w:rFonts w:ascii="Times New Roman" w:eastAsia="MS Mincho" w:hAnsi="Times New Roman"/>
                <w:sz w:val="18"/>
                <w:szCs w:val="18"/>
              </w:rPr>
              <w:t>‒</w:t>
            </w:r>
            <w:r>
              <w:rPr>
                <w:rFonts w:ascii="Times New Roman" w:eastAsia="仿宋" w:hAnsi="Times New Roman"/>
                <w:sz w:val="18"/>
                <w:szCs w:val="18"/>
              </w:rPr>
              <w:t>9392.</w:t>
            </w:r>
          </w:p>
          <w:p w:rsidR="0005291D" w:rsidRDefault="0035243D">
            <w:pPr>
              <w:spacing w:beforeLines="50" w:before="120" w:afterLines="50" w:after="120" w:line="360" w:lineRule="auto"/>
              <w:rPr>
                <w:rFonts w:ascii="Times New Roman" w:eastAsia="仿宋" w:hAnsi="Times New Roman"/>
                <w:sz w:val="18"/>
                <w:szCs w:val="18"/>
              </w:rPr>
            </w:pPr>
            <w:r>
              <w:rPr>
                <w:rFonts w:ascii="Times New Roman" w:eastAsia="仿宋" w:hAnsi="Times New Roman"/>
                <w:sz w:val="18"/>
                <w:szCs w:val="18"/>
              </w:rPr>
              <w:t>[10] Yu L, Tu X, Li X D, Wang Y, Chi Y, Yan J H. Destruction of acenaphthene, fluorene, anthracene and</w:t>
            </w:r>
            <w:r>
              <w:rPr>
                <w:rFonts w:ascii="Times New Roman" w:eastAsia="仿宋" w:hAnsi="Times New Roman"/>
                <w:sz w:val="18"/>
                <w:szCs w:val="18"/>
              </w:rPr>
              <w:t xml:space="preserve"> pyrene by a dc gliding arc plasma reactor. Journal of Hazardous Materials 2010, 180(1-3): 449</w:t>
            </w:r>
            <w:r>
              <w:rPr>
                <w:rFonts w:ascii="Times New Roman" w:eastAsia="MS Mincho" w:hAnsi="Times New Roman"/>
                <w:sz w:val="18"/>
                <w:szCs w:val="18"/>
              </w:rPr>
              <w:t>‒</w:t>
            </w:r>
            <w:r>
              <w:rPr>
                <w:rFonts w:ascii="Times New Roman" w:eastAsia="仿宋" w:hAnsi="Times New Roman"/>
                <w:sz w:val="18"/>
                <w:szCs w:val="18"/>
              </w:rPr>
              <w:t>455.</w:t>
            </w:r>
          </w:p>
          <w:p w:rsidR="0005291D" w:rsidRDefault="0035243D">
            <w:pPr>
              <w:spacing w:beforeLines="50" w:before="120" w:afterLines="50" w:after="120" w:line="360" w:lineRule="auto"/>
              <w:rPr>
                <w:rFonts w:ascii="仿宋" w:eastAsia="仿宋" w:hAnsi="仿宋"/>
                <w:sz w:val="24"/>
                <w:szCs w:val="24"/>
              </w:rPr>
            </w:pPr>
            <w:r>
              <w:rPr>
                <w:rFonts w:ascii="Times New Roman" w:eastAsia="仿宋" w:hAnsi="Times New Roman"/>
                <w:sz w:val="18"/>
                <w:szCs w:val="18"/>
              </w:rPr>
              <w:t>[11] Yu L, Li X D, Tu X, Wang Y, Lu S Y, Yan J H. Decomposition of naphthalene by dc gliding arc gas discharge. Journal of Physical Chemistry A, 2010, 144(1</w:t>
            </w:r>
            <w:r>
              <w:rPr>
                <w:rFonts w:ascii="Times New Roman" w:eastAsia="仿宋" w:hAnsi="Times New Roman"/>
                <w:sz w:val="18"/>
                <w:szCs w:val="18"/>
              </w:rPr>
              <w:t>): 360</w:t>
            </w:r>
            <w:r>
              <w:rPr>
                <w:rFonts w:ascii="Times New Roman" w:eastAsia="MS Mincho" w:hAnsi="Times New Roman"/>
                <w:sz w:val="18"/>
                <w:szCs w:val="18"/>
              </w:rPr>
              <w:t>‒</w:t>
            </w:r>
            <w:r>
              <w:rPr>
                <w:rFonts w:ascii="Times New Roman" w:eastAsia="仿宋" w:hAnsi="Times New Roman"/>
                <w:sz w:val="18"/>
                <w:szCs w:val="18"/>
              </w:rPr>
              <w:t>368.</w:t>
            </w:r>
          </w:p>
        </w:tc>
      </w:tr>
      <w:tr w:rsidR="0005291D">
        <w:trPr>
          <w:trHeight w:val="4035"/>
        </w:trPr>
        <w:tc>
          <w:tcPr>
            <w:tcW w:w="9366" w:type="dxa"/>
            <w:gridSpan w:val="7"/>
          </w:tcPr>
          <w:p w:rsidR="0005291D" w:rsidRDefault="0035243D">
            <w:pPr>
              <w:spacing w:beforeLines="50" w:before="120" w:afterLines="50" w:after="120" w:line="360" w:lineRule="auto"/>
              <w:rPr>
                <w:rFonts w:ascii="仿宋" w:eastAsia="仿宋" w:hAnsi="仿宋"/>
                <w:b/>
                <w:bCs/>
                <w:sz w:val="24"/>
                <w:szCs w:val="24"/>
              </w:rPr>
            </w:pPr>
            <w:r>
              <w:rPr>
                <w:rFonts w:ascii="仿宋" w:eastAsia="仿宋" w:hAnsi="仿宋" w:hint="eastAsia"/>
                <w:b/>
                <w:bCs/>
                <w:sz w:val="24"/>
                <w:szCs w:val="24"/>
              </w:rPr>
              <w:lastRenderedPageBreak/>
              <w:t>本项目学生有关的研究积累和已取得的成绩</w:t>
            </w:r>
          </w:p>
          <w:p w:rsidR="0005291D" w:rsidRDefault="0035243D">
            <w:pPr>
              <w:pStyle w:val="ListParagraph8937bb6b-1432-4737-857a-2937938088f1"/>
              <w:numPr>
                <w:ilvl w:val="0"/>
                <w:numId w:val="3"/>
              </w:numPr>
              <w:spacing w:beforeLines="50" w:before="120" w:afterLines="50" w:after="120" w:line="360" w:lineRule="auto"/>
              <w:ind w:left="0" w:firstLineChars="0" w:firstLine="284"/>
              <w:rPr>
                <w:rFonts w:ascii="仿宋" w:eastAsia="仿宋" w:hAnsi="仿宋"/>
                <w:sz w:val="24"/>
                <w:szCs w:val="24"/>
              </w:rPr>
            </w:pPr>
            <w:r>
              <w:rPr>
                <w:rFonts w:ascii="仿宋" w:eastAsia="仿宋" w:hAnsi="仿宋" w:hint="eastAsia"/>
                <w:sz w:val="24"/>
                <w:szCs w:val="24"/>
              </w:rPr>
              <w:t>组员易雨洋，洪诗瑗，侯志如，郭知雨参加由环境与资源学院举办的全国大学生节能减排社会实践与科技竞赛，掌握</w:t>
            </w:r>
            <w:r>
              <w:rPr>
                <w:rFonts w:ascii="仿宋" w:eastAsia="仿宋" w:hAnsi="仿宋" w:hint="eastAsia"/>
                <w:sz w:val="24"/>
                <w:szCs w:val="24"/>
              </w:rPr>
              <w:t>Auto CAD Plant3d,3dmax,lumion,Aspen</w:t>
            </w:r>
            <w:r>
              <w:rPr>
                <w:rFonts w:ascii="仿宋" w:eastAsia="仿宋" w:hAnsi="仿宋" w:hint="eastAsia"/>
                <w:sz w:val="24"/>
                <w:szCs w:val="24"/>
              </w:rPr>
              <w:t>以及会声会影等软件的使用。</w:t>
            </w:r>
          </w:p>
          <w:p w:rsidR="0005291D" w:rsidRDefault="0035243D">
            <w:pPr>
              <w:pStyle w:val="ListParagraph8937bb6b-1432-4737-857a-2937938088f1"/>
              <w:numPr>
                <w:ilvl w:val="0"/>
                <w:numId w:val="3"/>
              </w:numPr>
              <w:spacing w:beforeLines="50" w:before="120" w:afterLines="50" w:after="120" w:line="360" w:lineRule="auto"/>
              <w:ind w:left="0" w:firstLineChars="0" w:firstLine="284"/>
              <w:rPr>
                <w:rFonts w:ascii="仿宋" w:eastAsia="仿宋" w:hAnsi="仿宋"/>
                <w:sz w:val="24"/>
                <w:szCs w:val="24"/>
              </w:rPr>
            </w:pPr>
            <w:r>
              <w:rPr>
                <w:rFonts w:ascii="仿宋" w:eastAsia="仿宋" w:hAnsi="仿宋" w:hint="eastAsia"/>
                <w:sz w:val="24"/>
                <w:szCs w:val="24"/>
              </w:rPr>
              <w:t>组员易雨洋，郭知雨，洪诗瑗，侯志如参加“挑战杯”化工设计大赛国赛，熟练掌握</w:t>
            </w:r>
            <w:r>
              <w:rPr>
                <w:rFonts w:ascii="仿宋" w:eastAsia="仿宋" w:hAnsi="仿宋" w:hint="eastAsia"/>
                <w:sz w:val="24"/>
                <w:szCs w:val="24"/>
              </w:rPr>
              <w:t>Aspen</w:t>
            </w:r>
            <w:r>
              <w:rPr>
                <w:rFonts w:ascii="仿宋" w:eastAsia="仿宋" w:hAnsi="仿宋" w:hint="eastAsia"/>
                <w:sz w:val="24"/>
                <w:szCs w:val="24"/>
              </w:rPr>
              <w:t>，</w:t>
            </w:r>
            <w:r>
              <w:rPr>
                <w:rFonts w:ascii="仿宋" w:eastAsia="仿宋" w:hAnsi="仿宋" w:hint="eastAsia"/>
                <w:sz w:val="24"/>
                <w:szCs w:val="24"/>
              </w:rPr>
              <w:t>PS,</w:t>
            </w:r>
            <w:r>
              <w:rPr>
                <w:rFonts w:ascii="仿宋" w:eastAsia="仿宋" w:hAnsi="仿宋"/>
                <w:sz w:val="24"/>
                <w:szCs w:val="24"/>
              </w:rPr>
              <w:t xml:space="preserve"> Microsoft Offic</w:t>
            </w:r>
            <w:r>
              <w:rPr>
                <w:rFonts w:ascii="仿宋" w:eastAsia="仿宋" w:hAnsi="仿宋" w:hint="eastAsia"/>
                <w:sz w:val="24"/>
                <w:szCs w:val="24"/>
              </w:rPr>
              <w:t>e</w:t>
            </w:r>
            <w:r>
              <w:rPr>
                <w:rFonts w:ascii="仿宋" w:eastAsia="仿宋" w:hAnsi="仿宋" w:hint="eastAsia"/>
                <w:sz w:val="24"/>
                <w:szCs w:val="24"/>
              </w:rPr>
              <w:t>等软件的使用，帮助分析实验数据。</w:t>
            </w:r>
          </w:p>
        </w:tc>
      </w:tr>
      <w:tr w:rsidR="0005291D">
        <w:trPr>
          <w:trHeight w:val="2949"/>
        </w:trPr>
        <w:tc>
          <w:tcPr>
            <w:tcW w:w="9366" w:type="dxa"/>
            <w:gridSpan w:val="7"/>
          </w:tcPr>
          <w:p w:rsidR="0005291D" w:rsidRDefault="0035243D">
            <w:pPr>
              <w:spacing w:beforeLines="50" w:before="120" w:afterLines="50" w:after="120" w:line="360" w:lineRule="auto"/>
              <w:rPr>
                <w:rFonts w:ascii="仿宋" w:eastAsia="仿宋" w:hAnsi="仿宋"/>
                <w:b/>
                <w:bCs/>
                <w:sz w:val="24"/>
                <w:szCs w:val="24"/>
              </w:rPr>
            </w:pPr>
            <w:r>
              <w:rPr>
                <w:rFonts w:ascii="仿宋" w:eastAsia="仿宋" w:hAnsi="仿宋" w:hint="eastAsia"/>
                <w:b/>
                <w:bCs/>
                <w:sz w:val="24"/>
                <w:szCs w:val="24"/>
              </w:rPr>
              <w:t>项目的创新点和特色</w:t>
            </w:r>
          </w:p>
          <w:p w:rsidR="0005291D" w:rsidRDefault="0035243D">
            <w:pPr>
              <w:spacing w:beforeLines="50" w:before="120" w:afterLines="50" w:after="120" w:line="360" w:lineRule="auto"/>
              <w:ind w:firstLineChars="200" w:firstLine="480"/>
              <w:jc w:val="both"/>
              <w:rPr>
                <w:rFonts w:ascii="仿宋" w:eastAsia="仿宋" w:hAnsi="仿宋"/>
                <w:sz w:val="24"/>
                <w:szCs w:val="24"/>
              </w:rPr>
            </w:pPr>
            <w:r>
              <w:rPr>
                <w:rFonts w:ascii="仿宋" w:eastAsia="仿宋" w:hAnsi="仿宋"/>
                <w:sz w:val="24"/>
                <w:szCs w:val="24"/>
              </w:rPr>
              <w:t>1</w:t>
            </w:r>
            <w:r>
              <w:rPr>
                <w:rFonts w:ascii="仿宋" w:eastAsia="仿宋" w:hAnsi="仿宋"/>
                <w:sz w:val="24"/>
                <w:szCs w:val="24"/>
              </w:rPr>
              <w:t>）利用滑动弧等离子体具有热平衡等离子体和非平衡等离子体特性，调控活性粒子产生机制，结合污染物特征官能团，构建活性自由基</w:t>
            </w:r>
            <w:r>
              <w:rPr>
                <w:rFonts w:ascii="仿宋" w:eastAsia="仿宋" w:hAnsi="仿宋"/>
                <w:sz w:val="24"/>
                <w:szCs w:val="24"/>
              </w:rPr>
              <w:t>-</w:t>
            </w:r>
            <w:r>
              <w:rPr>
                <w:rFonts w:ascii="仿宋" w:eastAsia="仿宋" w:hAnsi="仿宋"/>
                <w:sz w:val="24"/>
                <w:szCs w:val="24"/>
              </w:rPr>
              <w:t>污染物结构的构效关系，为工业废气净化提供理论指导。</w:t>
            </w:r>
          </w:p>
          <w:p w:rsidR="0005291D" w:rsidRDefault="0035243D">
            <w:pPr>
              <w:spacing w:beforeLines="50" w:before="120" w:afterLines="50" w:after="120" w:line="360" w:lineRule="auto"/>
              <w:ind w:firstLineChars="200" w:firstLine="480"/>
              <w:jc w:val="both"/>
              <w:rPr>
                <w:rFonts w:ascii="仿宋" w:eastAsia="仿宋" w:hAnsi="仿宋"/>
                <w:sz w:val="24"/>
                <w:szCs w:val="24"/>
              </w:rPr>
            </w:pPr>
            <w:r>
              <w:rPr>
                <w:rFonts w:ascii="仿宋" w:eastAsia="仿宋" w:hAnsi="仿宋"/>
                <w:sz w:val="24"/>
                <w:szCs w:val="24"/>
              </w:rPr>
              <w:t>2</w:t>
            </w:r>
            <w:r>
              <w:rPr>
                <w:rFonts w:ascii="仿宋" w:eastAsia="仿宋" w:hAnsi="仿宋"/>
                <w:sz w:val="24"/>
                <w:szCs w:val="24"/>
              </w:rPr>
              <w:t>）通过构建活性粒子形态</w:t>
            </w:r>
            <w:r>
              <w:rPr>
                <w:rFonts w:ascii="仿宋" w:eastAsia="仿宋" w:hAnsi="仿宋"/>
                <w:sz w:val="24"/>
                <w:szCs w:val="24"/>
              </w:rPr>
              <w:t>-</w:t>
            </w:r>
            <w:r>
              <w:rPr>
                <w:rFonts w:ascii="仿宋" w:eastAsia="仿宋" w:hAnsi="仿宋"/>
                <w:sz w:val="24"/>
                <w:szCs w:val="24"/>
              </w:rPr>
              <w:t>有机废气结构相互调控机制，并阐明强化有机物降解机制，指导外置式低温等离子技术反应器设计、优化，为高效净化工业烟气提供新技术。</w:t>
            </w:r>
          </w:p>
        </w:tc>
      </w:tr>
      <w:tr w:rsidR="0005291D">
        <w:trPr>
          <w:trHeight w:val="2796"/>
        </w:trPr>
        <w:tc>
          <w:tcPr>
            <w:tcW w:w="9366" w:type="dxa"/>
            <w:gridSpan w:val="7"/>
          </w:tcPr>
          <w:p w:rsidR="0005291D" w:rsidRDefault="0035243D">
            <w:pPr>
              <w:spacing w:beforeLines="50" w:before="120" w:afterLines="50" w:after="120" w:line="360" w:lineRule="auto"/>
              <w:rPr>
                <w:rFonts w:ascii="仿宋" w:eastAsia="仿宋" w:hAnsi="仿宋"/>
                <w:b/>
                <w:bCs/>
                <w:sz w:val="24"/>
                <w:szCs w:val="24"/>
              </w:rPr>
            </w:pPr>
            <w:r>
              <w:rPr>
                <w:rFonts w:ascii="仿宋" w:eastAsia="仿宋" w:hAnsi="仿宋" w:hint="eastAsia"/>
                <w:b/>
                <w:bCs/>
                <w:sz w:val="24"/>
                <w:szCs w:val="24"/>
              </w:rPr>
              <w:lastRenderedPageBreak/>
              <w:t>项目的技术路线及预期成果</w:t>
            </w:r>
          </w:p>
          <w:p w:rsidR="0005291D" w:rsidRDefault="0035243D">
            <w:pPr>
              <w:spacing w:beforeLines="50" w:before="120" w:afterLines="50" w:after="120" w:line="360" w:lineRule="auto"/>
              <w:ind w:firstLineChars="200" w:firstLine="482"/>
              <w:rPr>
                <w:rFonts w:ascii="仿宋" w:eastAsia="仿宋" w:hAnsi="仿宋"/>
                <w:b/>
                <w:sz w:val="24"/>
                <w:szCs w:val="24"/>
              </w:rPr>
            </w:pPr>
            <w:r>
              <w:rPr>
                <w:rFonts w:ascii="仿宋" w:eastAsia="仿宋" w:hAnsi="仿宋" w:hint="eastAsia"/>
                <w:b/>
                <w:sz w:val="24"/>
                <w:szCs w:val="24"/>
              </w:rPr>
              <w:t>技术路线</w:t>
            </w:r>
          </w:p>
          <w:p w:rsidR="0005291D" w:rsidRDefault="0035243D">
            <w:pPr>
              <w:spacing w:beforeLines="50" w:before="120" w:afterLines="50" w:after="120" w:line="360" w:lineRule="auto"/>
              <w:ind w:firstLineChars="200" w:firstLine="480"/>
              <w:rPr>
                <w:rFonts w:ascii="仿宋" w:eastAsia="仿宋" w:hAnsi="仿宋"/>
                <w:bCs/>
                <w:sz w:val="24"/>
                <w:szCs w:val="24"/>
              </w:rPr>
            </w:pPr>
            <w:r>
              <w:rPr>
                <w:rFonts w:ascii="仿宋" w:eastAsia="仿宋" w:hAnsi="仿宋"/>
                <w:bCs/>
                <w:sz w:val="24"/>
                <w:szCs w:val="24"/>
              </w:rPr>
              <w:t>本项目技术路线如图</w:t>
            </w:r>
            <w:r>
              <w:rPr>
                <w:rFonts w:ascii="仿宋" w:eastAsia="仿宋" w:hAnsi="仿宋"/>
                <w:bCs/>
                <w:sz w:val="24"/>
                <w:szCs w:val="24"/>
              </w:rPr>
              <w:t>1</w:t>
            </w:r>
            <w:r>
              <w:rPr>
                <w:rFonts w:ascii="仿宋" w:eastAsia="仿宋" w:hAnsi="仿宋"/>
                <w:bCs/>
                <w:sz w:val="24"/>
                <w:szCs w:val="24"/>
              </w:rPr>
              <w:t>所示</w:t>
            </w:r>
          </w:p>
          <w:p w:rsidR="0005291D" w:rsidRDefault="0035243D">
            <w:pPr>
              <w:spacing w:beforeLines="50" w:before="120" w:afterLines="50" w:after="120" w:line="360" w:lineRule="auto"/>
              <w:ind w:firstLineChars="200" w:firstLine="480"/>
              <w:jc w:val="center"/>
              <w:rPr>
                <w:rFonts w:ascii="仿宋" w:eastAsia="仿宋" w:hAnsi="仿宋"/>
                <w:sz w:val="24"/>
                <w:szCs w:val="24"/>
              </w:rPr>
            </w:pPr>
            <w:r>
              <w:rPr>
                <w:rFonts w:ascii="仿宋" w:eastAsia="仿宋" w:hAnsi="仿宋"/>
                <w:noProof/>
                <w:sz w:val="24"/>
                <w:szCs w:val="24"/>
              </w:rPr>
              <w:drawing>
                <wp:inline distT="0" distB="0" distL="0" distR="0">
                  <wp:extent cx="4805045" cy="4354830"/>
                  <wp:effectExtent l="0" t="0" r="0" b="0"/>
                  <wp:docPr id="102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Image1"/>
                          <pic:cNvPicPr>
                            <a:picLocks noChangeAspect="1"/>
                          </pic:cNvPicPr>
                        </pic:nvPicPr>
                        <pic:blipFill>
                          <a:blip r:embed="rId8" cstate="print"/>
                          <a:srcRect l="8158" r="9089"/>
                          <a:stretch>
                            <a:fillRect/>
                          </a:stretch>
                        </pic:blipFill>
                        <pic:spPr>
                          <a:xfrm>
                            <a:off x="0" y="0"/>
                            <a:ext cx="4805045" cy="4354830"/>
                          </a:xfrm>
                          <a:prstGeom prst="rect">
                            <a:avLst/>
                          </a:prstGeom>
                        </pic:spPr>
                      </pic:pic>
                    </a:graphicData>
                  </a:graphic>
                </wp:inline>
              </w:drawing>
            </w:r>
          </w:p>
          <w:p w:rsidR="0005291D" w:rsidRDefault="0035243D">
            <w:pPr>
              <w:spacing w:beforeLines="50" w:before="120" w:afterLines="50" w:after="120" w:line="360" w:lineRule="auto"/>
              <w:ind w:firstLineChars="200" w:firstLine="360"/>
              <w:jc w:val="center"/>
              <w:rPr>
                <w:rFonts w:ascii="仿宋" w:eastAsia="仿宋" w:hAnsi="仿宋"/>
                <w:sz w:val="18"/>
                <w:szCs w:val="18"/>
              </w:rPr>
            </w:pPr>
            <w:r>
              <w:rPr>
                <w:rFonts w:ascii="仿宋" w:eastAsia="仿宋" w:hAnsi="仿宋"/>
                <w:sz w:val="18"/>
                <w:szCs w:val="18"/>
              </w:rPr>
              <w:t>图</w:t>
            </w:r>
            <w:r>
              <w:rPr>
                <w:rFonts w:ascii="仿宋" w:eastAsia="仿宋" w:hAnsi="仿宋"/>
                <w:sz w:val="18"/>
                <w:szCs w:val="18"/>
              </w:rPr>
              <w:t xml:space="preserve">1 </w:t>
            </w:r>
            <w:r>
              <w:rPr>
                <w:rFonts w:ascii="仿宋" w:eastAsia="仿宋" w:hAnsi="仿宋"/>
                <w:sz w:val="18"/>
                <w:szCs w:val="18"/>
              </w:rPr>
              <w:t>本项目研究技术路线</w:t>
            </w:r>
          </w:p>
          <w:p w:rsidR="0005291D" w:rsidRDefault="0035243D">
            <w:pPr>
              <w:spacing w:beforeLines="50" w:before="120" w:afterLines="50" w:after="120" w:line="360" w:lineRule="auto"/>
              <w:ind w:firstLineChars="200" w:firstLine="482"/>
              <w:rPr>
                <w:rFonts w:ascii="仿宋" w:eastAsia="仿宋" w:hAnsi="仿宋"/>
                <w:b/>
                <w:sz w:val="24"/>
                <w:szCs w:val="24"/>
              </w:rPr>
            </w:pPr>
            <w:r>
              <w:rPr>
                <w:rFonts w:ascii="仿宋" w:eastAsia="仿宋" w:hAnsi="仿宋" w:hint="eastAsia"/>
                <w:b/>
                <w:sz w:val="24"/>
                <w:szCs w:val="24"/>
              </w:rPr>
              <w:t>预期成果</w:t>
            </w:r>
          </w:p>
          <w:p w:rsidR="0005291D" w:rsidRDefault="0035243D">
            <w:pPr>
              <w:spacing w:beforeLines="50" w:before="120" w:afterLines="50" w:after="120" w:line="360" w:lineRule="auto"/>
              <w:ind w:firstLine="480"/>
              <w:jc w:val="both"/>
              <w:rPr>
                <w:rFonts w:ascii="仿宋" w:eastAsia="仿宋" w:hAnsi="仿宋"/>
                <w:sz w:val="24"/>
                <w:szCs w:val="24"/>
              </w:rPr>
            </w:pPr>
            <w:r>
              <w:rPr>
                <w:rFonts w:ascii="仿宋" w:eastAsia="仿宋" w:hAnsi="仿宋"/>
                <w:sz w:val="24"/>
                <w:szCs w:val="24"/>
              </w:rPr>
              <w:t>1</w:t>
            </w:r>
            <w:r>
              <w:rPr>
                <w:rFonts w:ascii="仿宋" w:eastAsia="仿宋" w:hAnsi="仿宋"/>
                <w:sz w:val="24"/>
                <w:szCs w:val="24"/>
              </w:rPr>
              <w:t>）阐明活性粒子产生机制、迁移过程以及分析其生命周期；</w:t>
            </w:r>
          </w:p>
          <w:p w:rsidR="0005291D" w:rsidRDefault="0035243D">
            <w:pPr>
              <w:spacing w:beforeLines="50" w:before="120" w:afterLines="50" w:after="120" w:line="360" w:lineRule="auto"/>
              <w:ind w:firstLine="480"/>
              <w:jc w:val="both"/>
              <w:rPr>
                <w:rFonts w:ascii="仿宋" w:eastAsia="仿宋" w:hAnsi="仿宋"/>
                <w:sz w:val="24"/>
                <w:szCs w:val="24"/>
              </w:rPr>
            </w:pPr>
            <w:r>
              <w:rPr>
                <w:rFonts w:ascii="仿宋" w:eastAsia="仿宋" w:hAnsi="仿宋"/>
                <w:sz w:val="24"/>
                <w:szCs w:val="24"/>
              </w:rPr>
              <w:t>2</w:t>
            </w:r>
            <w:r>
              <w:rPr>
                <w:rFonts w:ascii="仿宋" w:eastAsia="仿宋" w:hAnsi="仿宋"/>
                <w:sz w:val="24"/>
                <w:szCs w:val="24"/>
              </w:rPr>
              <w:t>）构建活性粒子形态</w:t>
            </w:r>
            <w:r>
              <w:rPr>
                <w:rFonts w:ascii="仿宋" w:eastAsia="仿宋" w:hAnsi="仿宋"/>
                <w:sz w:val="24"/>
                <w:szCs w:val="24"/>
              </w:rPr>
              <w:t>-</w:t>
            </w:r>
            <w:r>
              <w:rPr>
                <w:rFonts w:ascii="仿宋" w:eastAsia="仿宋" w:hAnsi="仿宋"/>
                <w:sz w:val="24"/>
                <w:szCs w:val="24"/>
              </w:rPr>
              <w:t>污染物结构的构效关系，阐述难降解有机物脱除机制。有机物矿化率不低于</w:t>
            </w:r>
            <w:r>
              <w:rPr>
                <w:rFonts w:ascii="仿宋" w:eastAsia="仿宋" w:hAnsi="仿宋"/>
                <w:sz w:val="24"/>
                <w:szCs w:val="24"/>
              </w:rPr>
              <w:t>95%</w:t>
            </w:r>
            <w:r>
              <w:rPr>
                <w:rFonts w:ascii="仿宋" w:eastAsia="仿宋" w:hAnsi="仿宋"/>
                <w:sz w:val="24"/>
                <w:szCs w:val="24"/>
              </w:rPr>
              <w:t>，无机气体去除率</w:t>
            </w:r>
            <w:r>
              <w:rPr>
                <w:rFonts w:ascii="仿宋" w:eastAsia="仿宋" w:hAnsi="仿宋"/>
                <w:sz w:val="24"/>
                <w:szCs w:val="24"/>
              </w:rPr>
              <w:t>90%</w:t>
            </w:r>
            <w:r>
              <w:rPr>
                <w:rFonts w:ascii="仿宋" w:eastAsia="仿宋" w:hAnsi="仿宋"/>
                <w:sz w:val="24"/>
                <w:szCs w:val="24"/>
              </w:rPr>
              <w:t>以上</w:t>
            </w:r>
            <w:r>
              <w:rPr>
                <w:rFonts w:ascii="仿宋" w:eastAsia="仿宋" w:hAnsi="仿宋" w:hint="eastAsia"/>
                <w:sz w:val="24"/>
                <w:szCs w:val="24"/>
              </w:rPr>
              <w:t>，达到石化行业工业废气排放标准</w:t>
            </w:r>
            <w:r>
              <w:rPr>
                <w:rFonts w:ascii="仿宋" w:eastAsia="仿宋" w:hAnsi="仿宋"/>
                <w:sz w:val="24"/>
                <w:szCs w:val="24"/>
              </w:rPr>
              <w:t>；</w:t>
            </w:r>
          </w:p>
          <w:p w:rsidR="0005291D" w:rsidRDefault="0035243D">
            <w:pPr>
              <w:spacing w:line="360" w:lineRule="auto"/>
              <w:ind w:firstLine="480"/>
              <w:rPr>
                <w:rFonts w:ascii="仿宋" w:eastAsia="仿宋" w:hAnsi="仿宋"/>
                <w:sz w:val="24"/>
                <w:szCs w:val="24"/>
              </w:rPr>
            </w:pPr>
            <w:r>
              <w:rPr>
                <w:rFonts w:ascii="仿宋" w:eastAsia="仿宋" w:hAnsi="仿宋"/>
                <w:sz w:val="24"/>
                <w:szCs w:val="24"/>
              </w:rPr>
              <w:t>3</w:t>
            </w:r>
            <w:r>
              <w:rPr>
                <w:rFonts w:ascii="仿宋" w:eastAsia="仿宋" w:hAnsi="仿宋"/>
                <w:sz w:val="24"/>
                <w:szCs w:val="24"/>
              </w:rPr>
              <w:t>）在国内外核心刊物上发表论文</w:t>
            </w:r>
            <w:r>
              <w:rPr>
                <w:rFonts w:ascii="仿宋" w:eastAsia="仿宋" w:hAnsi="仿宋"/>
                <w:sz w:val="24"/>
                <w:szCs w:val="24"/>
              </w:rPr>
              <w:t>1-3</w:t>
            </w:r>
            <w:r>
              <w:rPr>
                <w:rFonts w:ascii="仿宋" w:eastAsia="仿宋" w:hAnsi="仿宋"/>
                <w:sz w:val="24"/>
                <w:szCs w:val="24"/>
              </w:rPr>
              <w:t>篇，申请专利</w:t>
            </w:r>
            <w:r>
              <w:rPr>
                <w:rFonts w:ascii="仿宋" w:eastAsia="仿宋" w:hAnsi="仿宋"/>
                <w:sz w:val="24"/>
                <w:szCs w:val="24"/>
              </w:rPr>
              <w:t>1-2</w:t>
            </w:r>
            <w:r>
              <w:rPr>
                <w:rFonts w:ascii="仿宋" w:eastAsia="仿宋" w:hAnsi="仿宋"/>
                <w:sz w:val="24"/>
                <w:szCs w:val="24"/>
              </w:rPr>
              <w:t>项。</w:t>
            </w:r>
          </w:p>
        </w:tc>
      </w:tr>
      <w:tr w:rsidR="0005291D">
        <w:trPr>
          <w:trHeight w:val="2946"/>
        </w:trPr>
        <w:tc>
          <w:tcPr>
            <w:tcW w:w="9366" w:type="dxa"/>
            <w:gridSpan w:val="7"/>
          </w:tcPr>
          <w:p w:rsidR="0005291D" w:rsidRDefault="0035243D">
            <w:pPr>
              <w:spacing w:beforeLines="50" w:before="120" w:afterLines="50" w:after="120" w:line="360" w:lineRule="auto"/>
              <w:rPr>
                <w:rFonts w:ascii="仿宋" w:eastAsia="仿宋" w:hAnsi="仿宋"/>
                <w:b/>
                <w:sz w:val="24"/>
                <w:szCs w:val="24"/>
              </w:rPr>
            </w:pPr>
            <w:r>
              <w:rPr>
                <w:rFonts w:ascii="仿宋" w:eastAsia="仿宋" w:hAnsi="仿宋" w:hint="eastAsia"/>
                <w:b/>
                <w:sz w:val="24"/>
                <w:szCs w:val="24"/>
              </w:rPr>
              <w:lastRenderedPageBreak/>
              <w:t>年度目标和工作内容</w:t>
            </w:r>
            <w:r>
              <w:rPr>
                <w:rFonts w:ascii="仿宋" w:eastAsia="仿宋" w:hAnsi="仿宋" w:hint="eastAsia"/>
                <w:sz w:val="24"/>
                <w:szCs w:val="24"/>
              </w:rPr>
              <w:t>（分年度写）</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sz w:val="24"/>
                <w:szCs w:val="24"/>
              </w:rPr>
              <w:t>）</w:t>
            </w:r>
            <w:r>
              <w:rPr>
                <w:rFonts w:ascii="仿宋" w:eastAsia="仿宋" w:hAnsi="仿宋"/>
                <w:sz w:val="24"/>
                <w:szCs w:val="24"/>
              </w:rPr>
              <w:t>2018.</w:t>
            </w:r>
            <w:r>
              <w:rPr>
                <w:rFonts w:ascii="仿宋" w:eastAsia="仿宋" w:hAnsi="仿宋" w:hint="eastAsia"/>
                <w:sz w:val="24"/>
                <w:szCs w:val="24"/>
              </w:rPr>
              <w:t>4</w:t>
            </w:r>
            <w:r>
              <w:rPr>
                <w:rFonts w:ascii="仿宋" w:eastAsia="仿宋" w:hAnsi="仿宋"/>
                <w:sz w:val="24"/>
                <w:szCs w:val="24"/>
              </w:rPr>
              <w:t>-201</w:t>
            </w:r>
            <w:r>
              <w:rPr>
                <w:rFonts w:ascii="仿宋" w:eastAsia="仿宋" w:hAnsi="仿宋" w:hint="eastAsia"/>
                <w:sz w:val="24"/>
                <w:szCs w:val="24"/>
              </w:rPr>
              <w:t>9</w:t>
            </w:r>
            <w:r>
              <w:rPr>
                <w:rFonts w:ascii="仿宋" w:eastAsia="仿宋" w:hAnsi="仿宋"/>
                <w:sz w:val="24"/>
                <w:szCs w:val="24"/>
              </w:rPr>
              <w:t>.</w:t>
            </w:r>
            <w:r>
              <w:rPr>
                <w:rFonts w:ascii="仿宋" w:eastAsia="仿宋" w:hAnsi="仿宋" w:hint="eastAsia"/>
                <w:sz w:val="24"/>
                <w:szCs w:val="24"/>
              </w:rPr>
              <w:t>4</w:t>
            </w:r>
            <w:r>
              <w:rPr>
                <w:rFonts w:ascii="仿宋" w:eastAsia="仿宋" w:hAnsi="仿宋"/>
                <w:sz w:val="24"/>
                <w:szCs w:val="24"/>
              </w:rPr>
              <w:t xml:space="preserve"> </w:t>
            </w:r>
            <w:r>
              <w:rPr>
                <w:rFonts w:ascii="仿宋" w:eastAsia="仿宋" w:hAnsi="仿宋"/>
                <w:sz w:val="24"/>
                <w:szCs w:val="24"/>
              </w:rPr>
              <w:t>完成文献调研，滑动弧低温等离子体设备设计和搭建，研究滑动弧等离子体特性以及活性粒子产生过程与机制。拟发表论文</w:t>
            </w:r>
            <w:r>
              <w:rPr>
                <w:rFonts w:ascii="仿宋" w:eastAsia="仿宋" w:hAnsi="仿宋"/>
                <w:sz w:val="24"/>
                <w:szCs w:val="24"/>
              </w:rPr>
              <w:t>1</w:t>
            </w:r>
            <w:r>
              <w:rPr>
                <w:rFonts w:ascii="仿宋" w:eastAsia="仿宋" w:hAnsi="仿宋"/>
                <w:sz w:val="24"/>
                <w:szCs w:val="24"/>
              </w:rPr>
              <w:t>篇，申请专利</w:t>
            </w:r>
            <w:r>
              <w:rPr>
                <w:rFonts w:ascii="仿宋" w:eastAsia="仿宋" w:hAnsi="仿宋"/>
                <w:sz w:val="24"/>
                <w:szCs w:val="24"/>
              </w:rPr>
              <w:t>1</w:t>
            </w:r>
            <w:r>
              <w:rPr>
                <w:rFonts w:ascii="仿宋" w:eastAsia="仿宋" w:hAnsi="仿宋"/>
                <w:sz w:val="24"/>
                <w:szCs w:val="24"/>
              </w:rPr>
              <w:t>项。</w:t>
            </w:r>
          </w:p>
          <w:p w:rsidR="0005291D" w:rsidRDefault="0035243D">
            <w:pPr>
              <w:spacing w:beforeLines="50" w:before="120" w:afterLines="50" w:after="120"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sz w:val="24"/>
                <w:szCs w:val="24"/>
              </w:rPr>
              <w:t>）</w:t>
            </w:r>
            <w:r>
              <w:rPr>
                <w:rFonts w:ascii="仿宋" w:eastAsia="仿宋" w:hAnsi="仿宋"/>
                <w:sz w:val="24"/>
                <w:szCs w:val="24"/>
              </w:rPr>
              <w:t>2019.</w:t>
            </w:r>
            <w:r>
              <w:rPr>
                <w:rFonts w:ascii="仿宋" w:eastAsia="仿宋" w:hAnsi="仿宋" w:hint="eastAsia"/>
                <w:sz w:val="24"/>
                <w:szCs w:val="24"/>
              </w:rPr>
              <w:t>5</w:t>
            </w:r>
            <w:r>
              <w:rPr>
                <w:rFonts w:ascii="仿宋" w:eastAsia="仿宋" w:hAnsi="仿宋"/>
                <w:sz w:val="24"/>
                <w:szCs w:val="24"/>
              </w:rPr>
              <w:t>-20</w:t>
            </w:r>
            <w:r>
              <w:rPr>
                <w:rFonts w:ascii="仿宋" w:eastAsia="仿宋" w:hAnsi="仿宋" w:hint="eastAsia"/>
                <w:sz w:val="24"/>
                <w:szCs w:val="24"/>
              </w:rPr>
              <w:t>20</w:t>
            </w:r>
            <w:r>
              <w:rPr>
                <w:rFonts w:ascii="仿宋" w:eastAsia="仿宋" w:hAnsi="仿宋"/>
                <w:sz w:val="24"/>
                <w:szCs w:val="24"/>
              </w:rPr>
              <w:t>.</w:t>
            </w:r>
            <w:r>
              <w:rPr>
                <w:rFonts w:ascii="仿宋" w:eastAsia="仿宋" w:hAnsi="仿宋" w:hint="eastAsia"/>
                <w:sz w:val="24"/>
                <w:szCs w:val="24"/>
              </w:rPr>
              <w:t>5</w:t>
            </w:r>
            <w:r>
              <w:rPr>
                <w:rFonts w:ascii="仿宋" w:eastAsia="仿宋" w:hAnsi="仿宋"/>
                <w:sz w:val="24"/>
                <w:szCs w:val="24"/>
              </w:rPr>
              <w:t>研究挥发性有机物降解机制；无机废气与挥发性有机物协同</w:t>
            </w:r>
            <w:r>
              <w:rPr>
                <w:rFonts w:ascii="仿宋" w:eastAsia="仿宋" w:hAnsi="仿宋"/>
                <w:sz w:val="24"/>
                <w:szCs w:val="24"/>
              </w:rPr>
              <w:t>-</w:t>
            </w:r>
            <w:r>
              <w:rPr>
                <w:rFonts w:ascii="仿宋" w:eastAsia="仿宋" w:hAnsi="仿宋"/>
                <w:sz w:val="24"/>
                <w:szCs w:val="24"/>
              </w:rPr>
              <w:t>抑制降解机制；等离子体强化工业烟气净化过程研究；完成课题结题报告。拟发表论文</w:t>
            </w:r>
            <w:r>
              <w:rPr>
                <w:rFonts w:ascii="仿宋" w:eastAsia="仿宋" w:hAnsi="仿宋"/>
                <w:sz w:val="24"/>
                <w:szCs w:val="24"/>
              </w:rPr>
              <w:t>2</w:t>
            </w:r>
            <w:r>
              <w:rPr>
                <w:rFonts w:ascii="仿宋" w:eastAsia="仿宋" w:hAnsi="仿宋"/>
                <w:sz w:val="24"/>
                <w:szCs w:val="24"/>
              </w:rPr>
              <w:t>篇，申请专利</w:t>
            </w:r>
            <w:r>
              <w:rPr>
                <w:rFonts w:ascii="仿宋" w:eastAsia="仿宋" w:hAnsi="仿宋"/>
                <w:sz w:val="24"/>
                <w:szCs w:val="24"/>
              </w:rPr>
              <w:t>1</w:t>
            </w:r>
            <w:r>
              <w:rPr>
                <w:rFonts w:ascii="仿宋" w:eastAsia="仿宋" w:hAnsi="仿宋"/>
                <w:sz w:val="24"/>
                <w:szCs w:val="24"/>
              </w:rPr>
              <w:t>项。</w:t>
            </w:r>
          </w:p>
        </w:tc>
      </w:tr>
      <w:tr w:rsidR="0005291D">
        <w:trPr>
          <w:trHeight w:val="2476"/>
        </w:trPr>
        <w:tc>
          <w:tcPr>
            <w:tcW w:w="9366" w:type="dxa"/>
            <w:gridSpan w:val="7"/>
          </w:tcPr>
          <w:p w:rsidR="0005291D" w:rsidRDefault="0035243D">
            <w:pPr>
              <w:spacing w:beforeLines="50" w:before="120" w:afterLines="50" w:after="120" w:line="360" w:lineRule="auto"/>
              <w:rPr>
                <w:rFonts w:ascii="仿宋" w:eastAsia="仿宋" w:hAnsi="仿宋"/>
                <w:sz w:val="24"/>
                <w:szCs w:val="24"/>
              </w:rPr>
            </w:pPr>
            <w:r>
              <w:rPr>
                <w:rFonts w:ascii="仿宋" w:eastAsia="仿宋" w:hAnsi="仿宋" w:hint="eastAsia"/>
                <w:sz w:val="24"/>
                <w:szCs w:val="24"/>
              </w:rPr>
              <w:t>指导教师意见</w:t>
            </w:r>
          </w:p>
          <w:p w:rsidR="0005291D" w:rsidRDefault="0005291D">
            <w:pPr>
              <w:spacing w:beforeLines="50" w:before="120" w:afterLines="50" w:after="120" w:line="360" w:lineRule="auto"/>
              <w:ind w:firstLineChars="200" w:firstLine="480"/>
              <w:rPr>
                <w:rFonts w:ascii="仿宋" w:eastAsia="仿宋" w:hAnsi="仿宋"/>
                <w:sz w:val="24"/>
                <w:szCs w:val="24"/>
              </w:rPr>
            </w:pPr>
          </w:p>
          <w:p w:rsidR="0005291D" w:rsidRDefault="0005291D">
            <w:pPr>
              <w:spacing w:beforeLines="50" w:before="120" w:afterLines="50" w:after="120" w:line="360" w:lineRule="auto"/>
              <w:rPr>
                <w:rFonts w:ascii="仿宋" w:eastAsia="仿宋" w:hAnsi="仿宋"/>
                <w:sz w:val="24"/>
                <w:szCs w:val="24"/>
              </w:rPr>
            </w:pPr>
          </w:p>
          <w:p w:rsidR="0005291D" w:rsidRDefault="0005291D">
            <w:pPr>
              <w:spacing w:beforeLines="50" w:before="120" w:afterLines="50" w:after="120" w:line="360" w:lineRule="auto"/>
              <w:rPr>
                <w:rFonts w:ascii="仿宋" w:eastAsia="仿宋" w:hAnsi="仿宋"/>
                <w:sz w:val="24"/>
                <w:szCs w:val="24"/>
              </w:rPr>
            </w:pPr>
          </w:p>
          <w:p w:rsidR="0005291D" w:rsidRDefault="0005291D">
            <w:pPr>
              <w:spacing w:beforeLines="50" w:before="120" w:afterLines="50" w:after="120" w:line="360" w:lineRule="auto"/>
              <w:rPr>
                <w:rFonts w:ascii="仿宋" w:eastAsia="仿宋" w:hAnsi="仿宋"/>
                <w:sz w:val="24"/>
                <w:szCs w:val="24"/>
              </w:rPr>
            </w:pPr>
          </w:p>
          <w:p w:rsidR="0005291D" w:rsidRDefault="0005291D">
            <w:pPr>
              <w:spacing w:beforeLines="50" w:before="120" w:afterLines="50" w:after="120" w:line="360" w:lineRule="auto"/>
              <w:rPr>
                <w:rFonts w:ascii="仿宋" w:eastAsia="仿宋" w:hAnsi="仿宋"/>
                <w:sz w:val="24"/>
                <w:szCs w:val="24"/>
              </w:rPr>
            </w:pPr>
          </w:p>
          <w:p w:rsidR="0005291D" w:rsidRDefault="0035243D">
            <w:pPr>
              <w:spacing w:beforeLines="50" w:before="120" w:afterLines="50" w:after="120" w:line="360" w:lineRule="auto"/>
              <w:rPr>
                <w:rFonts w:ascii="仿宋" w:eastAsia="仿宋" w:hAnsi="仿宋"/>
                <w:sz w:val="24"/>
                <w:szCs w:val="24"/>
              </w:rPr>
            </w:pPr>
            <w:r>
              <w:rPr>
                <w:rFonts w:ascii="仿宋" w:eastAsia="仿宋" w:hAnsi="仿宋" w:hint="eastAsia"/>
                <w:sz w:val="24"/>
                <w:szCs w:val="24"/>
              </w:rPr>
              <w:t>签字：</w:t>
            </w:r>
            <w:r>
              <w:rPr>
                <w:rFonts w:ascii="仿宋" w:eastAsia="仿宋" w:hAnsi="仿宋" w:hint="eastAsia"/>
                <w:sz w:val="24"/>
                <w:szCs w:val="24"/>
              </w:rPr>
              <w:t xml:space="preserve">                    </w:t>
            </w:r>
            <w:r>
              <w:rPr>
                <w:rFonts w:ascii="仿宋" w:eastAsia="仿宋" w:hAnsi="仿宋" w:hint="eastAsia"/>
                <w:sz w:val="24"/>
                <w:szCs w:val="24"/>
              </w:rPr>
              <w:t>日期：</w:t>
            </w:r>
          </w:p>
        </w:tc>
      </w:tr>
      <w:tr w:rsidR="0005291D">
        <w:trPr>
          <w:trHeight w:val="2476"/>
        </w:trPr>
        <w:tc>
          <w:tcPr>
            <w:tcW w:w="9366" w:type="dxa"/>
            <w:gridSpan w:val="7"/>
          </w:tcPr>
          <w:p w:rsidR="0005291D" w:rsidRDefault="0035243D">
            <w:pPr>
              <w:spacing w:beforeLines="50" w:before="120" w:afterLines="50" w:after="120" w:line="360" w:lineRule="auto"/>
              <w:rPr>
                <w:rFonts w:ascii="仿宋" w:eastAsia="仿宋" w:hAnsi="仿宋"/>
                <w:sz w:val="24"/>
                <w:szCs w:val="24"/>
              </w:rPr>
            </w:pPr>
            <w:r>
              <w:rPr>
                <w:rFonts w:ascii="仿宋" w:eastAsia="仿宋" w:hAnsi="仿宋" w:hint="eastAsia"/>
                <w:sz w:val="24"/>
                <w:szCs w:val="24"/>
              </w:rPr>
              <w:t>学院推荐意见</w:t>
            </w:r>
          </w:p>
          <w:p w:rsidR="0005291D" w:rsidRDefault="0005291D">
            <w:pPr>
              <w:spacing w:beforeLines="50" w:before="120" w:afterLines="50" w:after="120" w:line="360" w:lineRule="auto"/>
              <w:rPr>
                <w:rFonts w:ascii="仿宋" w:eastAsia="仿宋" w:hAnsi="仿宋"/>
                <w:sz w:val="24"/>
                <w:szCs w:val="24"/>
              </w:rPr>
            </w:pPr>
          </w:p>
          <w:p w:rsidR="0005291D" w:rsidRDefault="0005291D">
            <w:pPr>
              <w:spacing w:beforeLines="50" w:before="120" w:afterLines="50" w:after="120" w:line="360" w:lineRule="auto"/>
              <w:rPr>
                <w:rFonts w:ascii="仿宋" w:eastAsia="仿宋" w:hAnsi="仿宋"/>
                <w:sz w:val="24"/>
                <w:szCs w:val="24"/>
              </w:rPr>
            </w:pPr>
          </w:p>
          <w:p w:rsidR="0005291D" w:rsidRDefault="0005291D">
            <w:pPr>
              <w:spacing w:beforeLines="50" w:before="120" w:afterLines="50" w:after="120" w:line="360" w:lineRule="auto"/>
              <w:rPr>
                <w:rFonts w:ascii="仿宋" w:eastAsia="仿宋" w:hAnsi="仿宋"/>
                <w:sz w:val="24"/>
                <w:szCs w:val="24"/>
              </w:rPr>
            </w:pPr>
          </w:p>
          <w:p w:rsidR="0005291D" w:rsidRDefault="0005291D">
            <w:pPr>
              <w:spacing w:beforeLines="50" w:before="120" w:afterLines="50" w:after="120" w:line="360" w:lineRule="auto"/>
              <w:rPr>
                <w:rFonts w:ascii="仿宋" w:eastAsia="仿宋" w:hAnsi="仿宋"/>
                <w:sz w:val="24"/>
                <w:szCs w:val="24"/>
              </w:rPr>
            </w:pPr>
          </w:p>
          <w:p w:rsidR="0005291D" w:rsidRDefault="0005291D">
            <w:pPr>
              <w:spacing w:beforeLines="50" w:before="120" w:afterLines="50" w:after="120" w:line="360" w:lineRule="auto"/>
              <w:rPr>
                <w:rFonts w:ascii="仿宋" w:eastAsia="仿宋" w:hAnsi="仿宋"/>
                <w:sz w:val="24"/>
                <w:szCs w:val="24"/>
              </w:rPr>
            </w:pPr>
          </w:p>
          <w:p w:rsidR="0005291D" w:rsidRDefault="0035243D">
            <w:pPr>
              <w:spacing w:beforeLines="50" w:before="120" w:afterLines="50" w:after="120" w:line="360" w:lineRule="auto"/>
              <w:rPr>
                <w:rFonts w:ascii="仿宋" w:eastAsia="仿宋" w:hAnsi="仿宋"/>
                <w:b/>
                <w:bCs/>
                <w:sz w:val="24"/>
                <w:szCs w:val="24"/>
              </w:rPr>
            </w:pPr>
            <w:r>
              <w:rPr>
                <w:rFonts w:ascii="仿宋" w:eastAsia="仿宋" w:hAnsi="仿宋" w:hint="eastAsia"/>
                <w:sz w:val="24"/>
                <w:szCs w:val="24"/>
              </w:rPr>
              <w:t>签字（盖章）：</w:t>
            </w:r>
            <w:r>
              <w:rPr>
                <w:rFonts w:ascii="仿宋" w:eastAsia="仿宋" w:hAnsi="仿宋" w:hint="eastAsia"/>
                <w:sz w:val="24"/>
                <w:szCs w:val="24"/>
              </w:rPr>
              <w:t xml:space="preserve">             </w:t>
            </w:r>
            <w:r>
              <w:rPr>
                <w:rFonts w:ascii="仿宋" w:eastAsia="仿宋" w:hAnsi="仿宋" w:hint="eastAsia"/>
                <w:sz w:val="24"/>
                <w:szCs w:val="24"/>
              </w:rPr>
              <w:t>日期：</w:t>
            </w:r>
          </w:p>
        </w:tc>
      </w:tr>
    </w:tbl>
    <w:p w:rsidR="0005291D" w:rsidRDefault="0035243D">
      <w:pPr>
        <w:spacing w:line="360" w:lineRule="auto"/>
        <w:rPr>
          <w:rFonts w:ascii="仿宋" w:eastAsia="仿宋" w:hAnsi="仿宋"/>
          <w:sz w:val="24"/>
          <w:szCs w:val="24"/>
        </w:rPr>
      </w:pPr>
      <w:r>
        <w:rPr>
          <w:rFonts w:ascii="仿宋" w:eastAsia="仿宋" w:hAnsi="仿宋" w:hint="eastAsia"/>
          <w:sz w:val="24"/>
          <w:szCs w:val="24"/>
        </w:rPr>
        <w:t>注：本表空栏不够可另附纸张。</w:t>
      </w:r>
    </w:p>
    <w:sectPr w:rsidR="0005291D">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43D" w:rsidRDefault="0035243D">
      <w:pPr>
        <w:spacing w:after="0"/>
      </w:pPr>
      <w:r>
        <w:separator/>
      </w:r>
    </w:p>
  </w:endnote>
  <w:endnote w:type="continuationSeparator" w:id="0">
    <w:p w:rsidR="0035243D" w:rsidRDefault="003524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43D" w:rsidRDefault="0035243D">
      <w:pPr>
        <w:spacing w:after="0"/>
      </w:pPr>
      <w:r>
        <w:separator/>
      </w:r>
    </w:p>
  </w:footnote>
  <w:footnote w:type="continuationSeparator" w:id="0">
    <w:p w:rsidR="0035243D" w:rsidRDefault="003524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291D" w:rsidRDefault="0005291D">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multilevel"/>
    <w:tmpl w:val="00000000"/>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abstractNum w:abstractNumId="1" w15:restartNumberingAfterBreak="0">
    <w:nsid w:val="00000001"/>
    <w:multiLevelType w:val="multilevel"/>
    <w:tmpl w:val="00000001"/>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abstractNum w:abstractNumId="2" w15:restartNumberingAfterBreak="0">
    <w:nsid w:val="00000002"/>
    <w:multiLevelType w:val="singleLevel"/>
    <w:tmpl w:val="00000002"/>
    <w:lvl w:ilvl="0">
      <w:start w:val="1"/>
      <w:numFmt w:val="bullet"/>
      <w:lvlText w:val=""/>
      <w:lvlJc w:val="left"/>
      <w:pPr>
        <w:ind w:left="42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spaceForUL/>
    <w:doNotLeaveBackslashAlone/>
    <w:ulTrailSpace/>
    <w:doNotExpandShiftReturn/>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5291D"/>
    <w:rsid w:val="0005291D"/>
    <w:rsid w:val="0035243D"/>
    <w:rsid w:val="007A0C94"/>
    <w:rsid w:val="06787406"/>
    <w:rsid w:val="6F3332F9"/>
    <w:rsid w:val="79112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B435179-2805-4164-86E2-79A0B6A43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uiPriority="99" w:qFormat="1"/>
    <w:lsdException w:name="footer" w:uiPriority="99" w:qFormat="1"/>
    <w:lsdException w:name="caption" w:semiHidden="1" w:unhideWhenUsed="1" w:qFormat="1"/>
    <w:lsdException w:name="footnote reference" w:uiPriority="99" w:qFormat="1"/>
    <w:lsdException w:name="annotation reference" w:uiPriority="99" w:qFormat="1"/>
    <w:lsdException w:name="page number"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Body Text Indent 2" w:uiPriority="99" w:qFormat="1"/>
    <w:lsdException w:name="Hyperlink" w:uiPriority="99" w:qFormat="1"/>
    <w:lsdException w:name="FollowedHyperlink" w:uiPriority="99" w:qFormat="1"/>
    <w:lsdException w:name="Strong" w:qFormat="1"/>
    <w:lsdException w:name="Emphasis" w:uiPriority="99" w:qFormat="1"/>
    <w:lsdException w:name="Document Map"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qFormat/>
    <w:rPr>
      <w:rFonts w:ascii="Arial" w:hAnsi="Arial" w:cs="Verdana"/>
      <w:b/>
      <w:sz w:val="21"/>
      <w:szCs w:val="21"/>
      <w:lang w:val="en-US" w:eastAsia="en-US" w:bidi="ar-SA"/>
    </w:rPr>
  </w:style>
  <w:style w:type="character" w:styleId="afc">
    <w:name w:val="footnote reference"/>
    <w:uiPriority w:val="99"/>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paragraph" w:customStyle="1" w:styleId="ListParagraph8937bb6b-1432-4737-857a-2937938088f1">
    <w:name w:val="List Paragraph_8937bb6b-1432-4737-857a-2937938088f1"/>
    <w:basedOn w:val="a"/>
    <w:uiPriority w:val="99"/>
    <w:qFormat/>
    <w:pPr>
      <w:ind w:firstLineChars="200" w:firstLine="420"/>
    </w:pPr>
  </w:style>
  <w:style w:type="paragraph" w:customStyle="1" w:styleId="Default">
    <w:name w:val="Default"/>
    <w:pPr>
      <w:widowControl w:val="0"/>
      <w:autoSpaceDE w:val="0"/>
      <w:autoSpaceDN w:val="0"/>
      <w:adjustRightInd w:val="0"/>
    </w:pPr>
    <w:rPr>
      <w:color w:val="000000"/>
      <w:sz w:val="24"/>
      <w:szCs w:val="24"/>
    </w:r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character" w:customStyle="1" w:styleId="af2">
    <w:name w:val="页脚 字符"/>
    <w:link w:val="af1"/>
    <w:uiPriority w:val="99"/>
    <w:qFormat/>
    <w:rPr>
      <w:rFonts w:ascii="Times New Roman" w:eastAsia="宋体" w:hAnsi="Times New Roman" w:cs="Times New Roman"/>
      <w:kern w:val="2"/>
      <w:sz w:val="18"/>
      <w:szCs w:val="18"/>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901</Words>
  <Characters>5136</Characters>
  <Application>Microsoft Office Word</Application>
  <DocSecurity>0</DocSecurity>
  <Lines>42</Lines>
  <Paragraphs>12</Paragraphs>
  <ScaleCrop>false</ScaleCrop>
  <Company>china</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第十届大学生研究性学习和创新性实验计划项目申报表</dc:title>
  <dc:creator>Administrator</dc:creator>
  <cp:lastModifiedBy>Administrator</cp:lastModifiedBy>
  <cp:revision>3</cp:revision>
  <cp:lastPrinted>2018-03-19T03:04:00Z</cp:lastPrinted>
  <dcterms:created xsi:type="dcterms:W3CDTF">2018-03-14T09:22:00Z</dcterms:created>
  <dcterms:modified xsi:type="dcterms:W3CDTF">2020-03-16T08:09:00Z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